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eastAsia="宋体" w:cs="Arial"/>
          <w:b/>
          <w:bCs/>
          <w:highlight w:val="none"/>
          <w:lang w:val="en-US" w:eastAsia="zh-CN"/>
        </w:rPr>
      </w:pPr>
      <w:r>
        <w:rPr>
          <w:rFonts w:ascii="Arial" w:hAnsi="Arial" w:cs="Arial"/>
          <w:b/>
          <w:bCs/>
          <w:highlight w:val="none"/>
        </w:rPr>
        <w:t xml:space="preserve">3GPP TSG-RAN WG4 Meeting # </w:t>
      </w:r>
      <w:r>
        <w:rPr>
          <w:rFonts w:ascii="Arial" w:hAnsi="Arial" w:cs="Arial"/>
          <w:b/>
          <w:highlight w:val="none"/>
        </w:rPr>
        <w:t>1</w:t>
      </w:r>
      <w:r>
        <w:rPr>
          <w:rFonts w:hint="eastAsia" w:ascii="Arial" w:hAnsi="Arial" w:eastAsia="宋体" w:cs="Arial"/>
          <w:b/>
          <w:highlight w:val="none"/>
          <w:lang w:val="en-US" w:eastAsia="zh-CN"/>
        </w:rPr>
        <w:t>10</w:t>
      </w:r>
      <w:r>
        <w:rPr>
          <w:rFonts w:ascii="Arial" w:hAnsi="Arial" w:cs="Arial"/>
          <w:b/>
          <w:bCs/>
          <w:highlight w:val="none"/>
        </w:rPr>
        <w:tab/>
      </w:r>
      <w:bookmarkStart w:id="0" w:name="_Hlk41145946"/>
      <w:r>
        <w:rPr>
          <w:rFonts w:hint="eastAsia" w:ascii="Arial" w:hAnsi="Arial" w:eastAsia="宋体" w:cs="Arial"/>
          <w:b/>
          <w:bCs/>
          <w:highlight w:val="none"/>
          <w:lang w:val="en-US" w:eastAsia="zh-CN"/>
        </w:rPr>
        <w:tab/>
      </w:r>
      <w:r>
        <w:rPr>
          <w:rFonts w:hint="eastAsia" w:ascii="Arial" w:hAnsi="Arial" w:eastAsia="宋体" w:cs="Arial"/>
          <w:b/>
          <w:bCs/>
          <w:highlight w:val="none"/>
          <w:lang w:val="en-US" w:eastAsia="zh-CN"/>
        </w:rPr>
        <w:tab/>
      </w:r>
      <w:r>
        <w:rPr>
          <w:rFonts w:hint="eastAsia" w:ascii="Arial" w:hAnsi="Arial" w:eastAsia="宋体" w:cs="Arial"/>
          <w:b/>
          <w:bCs/>
          <w:highlight w:val="none"/>
          <w:lang w:val="en-US" w:eastAsia="zh-CN"/>
        </w:rPr>
        <w:tab/>
      </w:r>
      <w:r>
        <w:rPr>
          <w:rFonts w:hint="eastAsia" w:ascii="Arial" w:hAnsi="Arial" w:eastAsia="宋体" w:cs="Arial"/>
          <w:b/>
          <w:bCs/>
          <w:highlight w:val="none"/>
          <w:lang w:val="en-US" w:eastAsia="zh-CN"/>
        </w:rPr>
        <w:tab/>
      </w:r>
      <w:r>
        <w:rPr>
          <w:rFonts w:hint="eastAsia" w:ascii="Arial" w:hAnsi="Arial" w:eastAsia="宋体" w:cs="Arial"/>
          <w:b/>
          <w:bCs/>
          <w:highlight w:val="none"/>
          <w:lang w:val="en-US" w:eastAsia="zh-CN"/>
        </w:rPr>
        <w:tab/>
      </w:r>
      <w:r>
        <w:rPr>
          <w:rFonts w:hint="eastAsia" w:ascii="Arial" w:hAnsi="Arial" w:eastAsia="宋体" w:cs="Arial"/>
          <w:b/>
          <w:bCs/>
          <w:highlight w:val="none"/>
          <w:lang w:val="en-US" w:eastAsia="zh-CN"/>
        </w:rPr>
        <w:tab/>
      </w:r>
      <w:r>
        <w:rPr>
          <w:rFonts w:hint="eastAsia" w:ascii="Arial" w:hAnsi="Arial" w:eastAsia="宋体" w:cs="Arial"/>
          <w:b/>
          <w:bCs/>
          <w:highlight w:val="none"/>
          <w:lang w:val="en-US" w:eastAsia="zh-CN"/>
        </w:rPr>
        <w:tab/>
      </w:r>
      <w:r>
        <w:rPr>
          <w:rFonts w:hint="eastAsia" w:ascii="Arial" w:hAnsi="Arial" w:eastAsia="宋体" w:cs="Arial"/>
          <w:b/>
          <w:bCs/>
          <w:highlight w:val="none"/>
          <w:lang w:val="en-US" w:eastAsia="zh-CN"/>
        </w:rPr>
        <w:tab/>
      </w:r>
      <w:r>
        <w:rPr>
          <w:rFonts w:hint="eastAsia" w:ascii="Arial" w:hAnsi="Arial" w:eastAsia="宋体" w:cs="Arial"/>
          <w:b/>
          <w:bCs/>
          <w:highlight w:val="none"/>
          <w:lang w:val="en-US" w:eastAsia="zh-CN"/>
        </w:rPr>
        <w:tab/>
      </w:r>
      <w:bookmarkEnd w:id="0"/>
      <w:r>
        <w:rPr>
          <w:rFonts w:ascii="Arial" w:hAnsi="Arial" w:cs="Arial"/>
          <w:b/>
          <w:bCs/>
          <w:highlight w:val="none"/>
        </w:rPr>
        <w:t>R4-2</w:t>
      </w:r>
      <w:r>
        <w:rPr>
          <w:rFonts w:hint="eastAsia" w:ascii="Arial" w:hAnsi="Arial" w:eastAsia="宋体" w:cs="Arial"/>
          <w:b/>
          <w:bCs/>
          <w:highlight w:val="none"/>
          <w:lang w:val="en-US" w:eastAsia="zh-CN"/>
        </w:rPr>
        <w:t>403468</w:t>
      </w:r>
      <w:bookmarkStart w:id="7" w:name="_GoBack"/>
      <w:bookmarkEnd w:id="7"/>
    </w:p>
    <w:p>
      <w:pPr>
        <w:tabs>
          <w:tab w:val="left" w:pos="3106"/>
          <w:tab w:val="center" w:pos="4536"/>
          <w:tab w:val="right" w:pos="9072"/>
        </w:tabs>
        <w:jc w:val="both"/>
        <w:rPr>
          <w:rFonts w:hint="default" w:ascii="Arial" w:hAnsi="Arial" w:eastAsia="宋体" w:cs="Arial"/>
          <w:b/>
          <w:bCs/>
          <w:highlight w:val="none"/>
          <w:lang w:val="en-US" w:eastAsia="zh-CN"/>
        </w:rPr>
      </w:pPr>
    </w:p>
    <w:p>
      <w:pPr>
        <w:spacing w:after="120"/>
        <w:ind w:left="1985" w:hanging="1985"/>
        <w:rPr>
          <w:rFonts w:ascii="Arial" w:hAnsi="Arial" w:cs="Arial" w:eastAsiaTheme="minorEastAsia"/>
          <w:b/>
          <w:sz w:val="24"/>
          <w:szCs w:val="24"/>
          <w:highlight w:val="none"/>
          <w:lang w:val="en-US" w:eastAsia="zh-CN"/>
        </w:rPr>
      </w:pPr>
      <w:r>
        <w:rPr>
          <w:rFonts w:hint="eastAsia" w:ascii="Arial" w:hAnsi="Arial" w:cs="Arial" w:eastAsiaTheme="minorEastAsia"/>
          <w:b/>
          <w:sz w:val="24"/>
          <w:szCs w:val="24"/>
          <w:highlight w:val="none"/>
          <w:lang w:val="en-US" w:eastAsia="zh-CN"/>
        </w:rPr>
        <w:t>Athens, Greece, 26th Feb - 1st Mar, 2024</w:t>
      </w:r>
    </w:p>
    <w:p>
      <w:pPr>
        <w:spacing w:after="120"/>
        <w:ind w:left="1985" w:hanging="1985"/>
        <w:rPr>
          <w:rFonts w:hint="eastAsia" w:ascii="Arial" w:hAnsi="Arial" w:cs="Arial" w:eastAsiaTheme="minorEastAsia"/>
          <w:b/>
          <w:sz w:val="24"/>
          <w:szCs w:val="24"/>
          <w:highlight w:val="none"/>
          <w:lang w:eastAsia="zh-CN"/>
        </w:rPr>
      </w:pPr>
    </w:p>
    <w:p>
      <w:pPr>
        <w:tabs>
          <w:tab w:val="left" w:pos="1770"/>
          <w:tab w:val="center" w:pos="4557"/>
        </w:tabs>
        <w:spacing w:after="180"/>
        <w:rPr>
          <w:rFonts w:ascii="Arial" w:hAnsi="Arial" w:cs="Arial"/>
          <w:b/>
          <w:sz w:val="22"/>
          <w:highlight w:val="none"/>
        </w:rPr>
      </w:pPr>
      <w:r>
        <w:rPr>
          <w:rFonts w:ascii="Arial" w:hAnsi="Arial" w:cs="Arial"/>
          <w:b/>
          <w:sz w:val="22"/>
          <w:highlight w:val="none"/>
        </w:rPr>
        <w:t xml:space="preserve">Title: </w:t>
      </w:r>
      <w:r>
        <w:rPr>
          <w:rFonts w:ascii="Arial" w:hAnsi="Arial" w:cs="Arial"/>
          <w:b/>
          <w:sz w:val="22"/>
          <w:highlight w:val="none"/>
        </w:rPr>
        <w:tab/>
      </w:r>
      <w:r>
        <w:rPr>
          <w:rFonts w:ascii="Arial" w:hAnsi="Arial" w:cs="Arial"/>
          <w:sz w:val="22"/>
          <w:highlight w:val="none"/>
        </w:rPr>
        <w:t>WF on RRM requirements for NR ATG</w:t>
      </w:r>
    </w:p>
    <w:p>
      <w:pPr>
        <w:tabs>
          <w:tab w:val="left" w:pos="1770"/>
          <w:tab w:val="center" w:pos="4557"/>
        </w:tabs>
        <w:spacing w:after="180"/>
        <w:rPr>
          <w:rFonts w:hint="default" w:ascii="Arial" w:hAnsi="Arial" w:eastAsia="宋体" w:cs="Arial"/>
          <w:b/>
          <w:sz w:val="22"/>
          <w:highlight w:val="none"/>
          <w:lang w:val="en-US" w:eastAsia="zh-CN"/>
        </w:rPr>
      </w:pPr>
      <w:r>
        <w:rPr>
          <w:rFonts w:ascii="Arial" w:hAnsi="Arial" w:cs="Arial"/>
          <w:b/>
          <w:sz w:val="22"/>
          <w:highlight w:val="none"/>
        </w:rPr>
        <w:t>Agenda Item:</w:t>
      </w:r>
      <w:r>
        <w:rPr>
          <w:rFonts w:ascii="Arial" w:hAnsi="Arial" w:cs="Arial"/>
          <w:b/>
          <w:sz w:val="22"/>
          <w:highlight w:val="none"/>
        </w:rPr>
        <w:tab/>
      </w:r>
      <w:r>
        <w:rPr>
          <w:rFonts w:hint="eastAsia" w:ascii="Arial" w:hAnsi="Arial" w:eastAsia="宋体" w:cs="Arial"/>
          <w:sz w:val="22"/>
          <w:highlight w:val="none"/>
          <w:lang w:val="en-US" w:eastAsia="zh-CN"/>
        </w:rPr>
        <w:t>8.9.8</w:t>
      </w:r>
    </w:p>
    <w:p>
      <w:pPr>
        <w:tabs>
          <w:tab w:val="left" w:pos="1765"/>
        </w:tabs>
        <w:spacing w:after="180"/>
        <w:rPr>
          <w:rFonts w:ascii="Arial" w:hAnsi="Arial" w:cs="Arial" w:eastAsiaTheme="minorEastAsia"/>
          <w:sz w:val="22"/>
          <w:highlight w:val="none"/>
        </w:rPr>
      </w:pPr>
      <w:r>
        <w:rPr>
          <w:rFonts w:ascii="Arial" w:hAnsi="Arial" w:cs="Arial"/>
          <w:b/>
          <w:sz w:val="22"/>
          <w:highlight w:val="none"/>
        </w:rPr>
        <w:t xml:space="preserve">Source: </w:t>
      </w:r>
      <w:r>
        <w:rPr>
          <w:rFonts w:ascii="Arial" w:hAnsi="Arial" w:cs="Arial"/>
          <w:b/>
          <w:sz w:val="22"/>
          <w:highlight w:val="none"/>
        </w:rPr>
        <w:tab/>
      </w:r>
      <w:bookmarkStart w:id="1" w:name="_Hlk41145958"/>
      <w:r>
        <w:rPr>
          <w:rFonts w:ascii="Arial" w:hAnsi="Arial" w:cs="Arial"/>
          <w:sz w:val="22"/>
          <w:highlight w:val="none"/>
        </w:rPr>
        <w:t>CMCC</w:t>
      </w:r>
      <w:bookmarkEnd w:id="1"/>
      <w:bookmarkStart w:id="2" w:name="OLE_LINK8"/>
      <w:bookmarkStart w:id="3" w:name="OLE_LINK7"/>
    </w:p>
    <w:bookmarkEnd w:id="2"/>
    <w:bookmarkEnd w:id="3"/>
    <w:p>
      <w:pPr>
        <w:tabs>
          <w:tab w:val="left" w:pos="1765"/>
        </w:tabs>
        <w:spacing w:after="180"/>
        <w:rPr>
          <w:rFonts w:hint="default"/>
          <w:highlight w:val="none"/>
          <w:lang w:val="en-US" w:eastAsia="zh-CN"/>
        </w:rPr>
      </w:pPr>
      <w:r>
        <w:rPr>
          <w:rFonts w:ascii="Arial" w:hAnsi="Arial" w:cs="Arial"/>
          <w:b/>
          <w:sz w:val="22"/>
          <w:highlight w:val="none"/>
        </w:rPr>
        <w:t>Document for:</w:t>
      </w:r>
      <w:r>
        <w:rPr>
          <w:rFonts w:ascii="Arial" w:hAnsi="Arial" w:cs="Arial"/>
          <w:b/>
          <w:sz w:val="22"/>
          <w:highlight w:val="none"/>
        </w:rPr>
        <w:tab/>
      </w:r>
      <w:r>
        <w:rPr>
          <w:rFonts w:ascii="Arial" w:hAnsi="Arial" w:cs="Arial"/>
          <w:sz w:val="22"/>
          <w:highlight w:val="none"/>
        </w:rPr>
        <w:t>Approval</w:t>
      </w:r>
      <w:bookmarkStart w:id="4" w:name="OLE_LINK2"/>
      <w:bookmarkStart w:id="5" w:name="_Hlk70326378"/>
      <w:bookmarkStart w:id="6" w:name="OLE_LINK1"/>
    </w:p>
    <w:p>
      <w:pPr>
        <w:pStyle w:val="2"/>
        <w:numPr>
          <w:ilvl w:val="0"/>
          <w:numId w:val="3"/>
        </w:numPr>
        <w:pBdr>
          <w:top w:val="single" w:color="auto" w:sz="12" w:space="3"/>
        </w:pBdr>
        <w:spacing w:before="120" w:after="60" w:line="240" w:lineRule="auto"/>
        <w:rPr>
          <w:rFonts w:cs="Arial"/>
          <w:b w:val="0"/>
          <w:bCs w:val="0"/>
          <w:kern w:val="0"/>
          <w:sz w:val="28"/>
          <w:szCs w:val="28"/>
          <w:highlight w:val="none"/>
        </w:rPr>
      </w:pPr>
      <w:r>
        <w:rPr>
          <w:rFonts w:hint="eastAsia" w:eastAsia="宋体" w:cs="Arial"/>
          <w:b w:val="0"/>
          <w:bCs w:val="0"/>
          <w:kern w:val="0"/>
          <w:sz w:val="28"/>
          <w:szCs w:val="28"/>
          <w:highlight w:val="none"/>
          <w:lang w:val="en-US" w:eastAsia="zh-CN"/>
        </w:rPr>
        <w:t>Core Maintenance</w:t>
      </w:r>
    </w:p>
    <w:bookmarkEnd w:id="4"/>
    <w:bookmarkEnd w:id="5"/>
    <w:bookmarkEnd w:id="6"/>
    <w:p>
      <w:pPr>
        <w:rPr>
          <w:rFonts w:hint="eastAsia"/>
          <w:b/>
          <w:sz w:val="21"/>
          <w:szCs w:val="21"/>
          <w:highlight w:val="none"/>
          <w:u w:val="single"/>
          <w:lang w:val="en-US" w:eastAsia="zh-CN"/>
        </w:rPr>
      </w:pPr>
      <w:r>
        <w:rPr>
          <w:b/>
          <w:sz w:val="21"/>
          <w:szCs w:val="21"/>
          <w:highlight w:val="none"/>
          <w:u w:val="single"/>
          <w:lang w:eastAsia="ko-KR"/>
        </w:rPr>
        <w:t xml:space="preserve">Issue 1-1: </w:t>
      </w:r>
      <w:r>
        <w:rPr>
          <w:rFonts w:hint="eastAsia"/>
          <w:b/>
          <w:sz w:val="21"/>
          <w:szCs w:val="21"/>
          <w:highlight w:val="none"/>
          <w:u w:val="single"/>
          <w:lang w:val="en-US" w:eastAsia="zh-CN"/>
        </w:rPr>
        <w:t>ATG UE feature</w:t>
      </w:r>
    </w:p>
    <w:p>
      <w:pPr>
        <w:pStyle w:val="74"/>
        <w:overflowPunct/>
        <w:autoSpaceDE/>
        <w:autoSpaceDN/>
        <w:adjustRightInd/>
        <w:spacing w:after="120"/>
        <w:ind w:firstLine="0" w:firstLineChars="0"/>
        <w:textAlignment w:val="auto"/>
        <w:rPr>
          <w:rFonts w:eastAsia="宋体"/>
          <w:b/>
          <w:bCs/>
          <w:sz w:val="21"/>
          <w:szCs w:val="21"/>
          <w:highlight w:val="none"/>
          <w:u w:val="single"/>
          <w:lang w:eastAsia="zh-CN"/>
        </w:rPr>
      </w:pPr>
      <w:r>
        <w:rPr>
          <w:rFonts w:hint="eastAsia" w:eastAsia="宋体"/>
          <w:b/>
          <w:bCs/>
          <w:sz w:val="21"/>
          <w:szCs w:val="21"/>
          <w:highlight w:val="none"/>
          <w:u w:val="single"/>
          <w:lang w:val="en-US" w:eastAsia="zh-CN"/>
        </w:rPr>
        <w:t>For Location-based measurement report trigger</w:t>
      </w:r>
    </w:p>
    <w:p>
      <w:pPr>
        <w:spacing w:after="120"/>
        <w:rPr>
          <w:rFonts w:hint="eastAsia"/>
          <w:sz w:val="21"/>
          <w:szCs w:val="21"/>
          <w:highlight w:val="none"/>
          <w:lang w:val="en-US" w:eastAsia="zh-CN"/>
        </w:rPr>
      </w:pPr>
      <w:r>
        <w:rPr>
          <w:rFonts w:hint="eastAsia"/>
          <w:sz w:val="21"/>
          <w:szCs w:val="21"/>
          <w:highlight w:val="none"/>
          <w:lang w:val="en-US" w:eastAsia="zh-CN"/>
        </w:rPr>
        <w:t>Agreement:</w:t>
      </w:r>
    </w:p>
    <w:p>
      <w:pPr>
        <w:numPr>
          <w:ilvl w:val="2"/>
          <w:numId w:val="4"/>
        </w:numPr>
        <w:autoSpaceDN w:val="0"/>
        <w:spacing w:after="120"/>
        <w:ind w:left="1860"/>
        <w:rPr>
          <w:sz w:val="21"/>
          <w:szCs w:val="21"/>
          <w:highlight w:val="none"/>
          <w:lang w:val="en-US" w:eastAsia="zh-CN"/>
        </w:rPr>
      </w:pPr>
      <w:r>
        <w:rPr>
          <w:rFonts w:hint="eastAsia"/>
          <w:sz w:val="21"/>
          <w:szCs w:val="21"/>
          <w:highlight w:val="none"/>
          <w:lang w:val="en-US" w:eastAsia="zh-CN"/>
        </w:rPr>
        <w:t xml:space="preserve">No need to introduce the UE feature </w:t>
      </w:r>
      <w:r>
        <w:rPr>
          <w:sz w:val="21"/>
          <w:szCs w:val="21"/>
          <w:highlight w:val="none"/>
          <w:lang w:val="en-US" w:eastAsia="zh-CN"/>
        </w:rPr>
        <w:t>‘</w:t>
      </w:r>
      <w:r>
        <w:rPr>
          <w:rFonts w:hint="eastAsia"/>
          <w:sz w:val="21"/>
          <w:szCs w:val="21"/>
          <w:highlight w:val="none"/>
          <w:lang w:val="en-US" w:eastAsia="zh-CN"/>
        </w:rPr>
        <w:t>Location-based measurement report trigger</w:t>
      </w:r>
      <w:r>
        <w:rPr>
          <w:sz w:val="21"/>
          <w:szCs w:val="21"/>
          <w:highlight w:val="none"/>
          <w:lang w:val="en-US" w:eastAsia="zh-CN"/>
        </w:rPr>
        <w:t>’</w:t>
      </w:r>
    </w:p>
    <w:p>
      <w:pPr>
        <w:pStyle w:val="74"/>
        <w:overflowPunct/>
        <w:autoSpaceDE/>
        <w:autoSpaceDN/>
        <w:adjustRightInd/>
        <w:spacing w:after="120"/>
        <w:ind w:firstLine="0" w:firstLineChars="0"/>
        <w:textAlignment w:val="auto"/>
        <w:rPr>
          <w:sz w:val="21"/>
          <w:szCs w:val="21"/>
          <w:highlight w:val="none"/>
          <w:lang w:val="en-US" w:eastAsia="zh-CN"/>
        </w:rPr>
      </w:pPr>
    </w:p>
    <w:p>
      <w:pPr>
        <w:pStyle w:val="74"/>
        <w:overflowPunct/>
        <w:autoSpaceDE/>
        <w:autoSpaceDN/>
        <w:adjustRightInd/>
        <w:spacing w:after="120"/>
        <w:ind w:firstLine="0" w:firstLineChars="0"/>
        <w:textAlignment w:val="auto"/>
        <w:rPr>
          <w:rFonts w:eastAsia="宋体"/>
          <w:sz w:val="21"/>
          <w:szCs w:val="21"/>
          <w:highlight w:val="none"/>
          <w:lang w:val="en-US" w:eastAsia="zh-CN"/>
        </w:rPr>
      </w:pPr>
      <w:r>
        <w:rPr>
          <w:rFonts w:hint="eastAsia" w:eastAsia="宋体"/>
          <w:b/>
          <w:bCs/>
          <w:sz w:val="21"/>
          <w:szCs w:val="21"/>
          <w:highlight w:val="none"/>
          <w:u w:val="single"/>
          <w:lang w:val="en-US" w:eastAsia="zh-CN"/>
        </w:rPr>
        <w:t>For TA reporting during initial access</w:t>
      </w:r>
    </w:p>
    <w:p>
      <w:pPr>
        <w:rPr>
          <w:sz w:val="21"/>
          <w:szCs w:val="21"/>
          <w:highlight w:val="none"/>
          <w:lang w:eastAsia="zh-CN"/>
        </w:rPr>
      </w:pPr>
      <w:r>
        <w:rPr>
          <w:rFonts w:hint="eastAsia"/>
          <w:sz w:val="21"/>
          <w:szCs w:val="21"/>
          <w:highlight w:val="none"/>
          <w:lang w:eastAsia="zh-CN"/>
        </w:rPr>
        <w:t>A</w:t>
      </w:r>
      <w:r>
        <w:rPr>
          <w:sz w:val="21"/>
          <w:szCs w:val="21"/>
          <w:highlight w:val="none"/>
          <w:lang w:eastAsia="zh-CN"/>
        </w:rPr>
        <w:t>greement:</w:t>
      </w:r>
    </w:p>
    <w:p>
      <w:pPr>
        <w:numPr>
          <w:ilvl w:val="2"/>
          <w:numId w:val="4"/>
        </w:numPr>
        <w:autoSpaceDN w:val="0"/>
        <w:spacing w:after="120"/>
        <w:ind w:left="1860"/>
        <w:rPr>
          <w:sz w:val="21"/>
          <w:szCs w:val="21"/>
          <w:highlight w:val="none"/>
          <w:lang w:val="en-US" w:eastAsia="zh-CN"/>
        </w:rPr>
      </w:pPr>
      <w:r>
        <w:rPr>
          <w:sz w:val="21"/>
          <w:szCs w:val="21"/>
          <w:highlight w:val="none"/>
          <w:lang w:val="en-US" w:eastAsia="zh-CN"/>
        </w:rPr>
        <w:t xml:space="preserve">UE shall support UE feature ‘TA reporting during initial access’ if the UE indicates support of the capability ‘UE reporting of TA infomration’. </w:t>
      </w:r>
    </w:p>
    <w:p>
      <w:pPr>
        <w:pStyle w:val="74"/>
        <w:overflowPunct/>
        <w:autoSpaceDE/>
        <w:autoSpaceDN/>
        <w:adjustRightInd/>
        <w:spacing w:after="120"/>
        <w:ind w:left="360" w:firstLine="0" w:firstLineChars="0"/>
        <w:textAlignment w:val="auto"/>
        <w:rPr>
          <w:rFonts w:eastAsia="宋体"/>
          <w:sz w:val="21"/>
          <w:szCs w:val="21"/>
          <w:highlight w:val="none"/>
          <w:u w:val="single"/>
          <w:lang w:val="en-US" w:eastAsia="zh-CN"/>
        </w:rPr>
      </w:pPr>
    </w:p>
    <w:p>
      <w:pPr>
        <w:pStyle w:val="74"/>
        <w:overflowPunct/>
        <w:autoSpaceDE/>
        <w:autoSpaceDN/>
        <w:adjustRightInd/>
        <w:spacing w:after="120"/>
        <w:ind w:firstLine="0" w:firstLineChars="0"/>
        <w:textAlignment w:val="auto"/>
        <w:rPr>
          <w:rFonts w:eastAsia="宋体"/>
          <w:b/>
          <w:bCs/>
          <w:sz w:val="21"/>
          <w:szCs w:val="21"/>
          <w:highlight w:val="none"/>
          <w:u w:val="single"/>
          <w:lang w:val="en-US" w:eastAsia="zh-CN"/>
        </w:rPr>
      </w:pPr>
      <w:r>
        <w:rPr>
          <w:rFonts w:hint="eastAsia" w:eastAsia="宋体"/>
          <w:b/>
          <w:bCs/>
          <w:sz w:val="21"/>
          <w:szCs w:val="21"/>
          <w:highlight w:val="none"/>
          <w:u w:val="single"/>
          <w:lang w:val="en-US" w:eastAsia="zh-CN"/>
        </w:rPr>
        <w:t xml:space="preserve">For </w:t>
      </w:r>
      <w:r>
        <w:rPr>
          <w:rFonts w:hint="eastAsia" w:eastAsia="宋体"/>
          <w:b/>
          <w:bCs/>
          <w:sz w:val="21"/>
          <w:szCs w:val="21"/>
          <w:highlight w:val="none"/>
          <w:u w:val="single"/>
          <w:lang w:val="en-US" w:eastAsia="en-GB"/>
        </w:rPr>
        <w:t>Location based CHO</w:t>
      </w:r>
    </w:p>
    <w:p>
      <w:pPr>
        <w:spacing w:after="120"/>
        <w:rPr>
          <w:rFonts w:hint="eastAsia"/>
          <w:sz w:val="21"/>
          <w:szCs w:val="21"/>
          <w:highlight w:val="none"/>
          <w:lang w:val="en-US" w:eastAsia="zh-CN"/>
        </w:rPr>
      </w:pPr>
      <w:r>
        <w:rPr>
          <w:rFonts w:hint="eastAsia"/>
          <w:sz w:val="21"/>
          <w:szCs w:val="21"/>
          <w:highlight w:val="none"/>
          <w:lang w:val="en-US" w:eastAsia="zh-CN"/>
        </w:rPr>
        <w:t>Agreement:</w:t>
      </w:r>
    </w:p>
    <w:p>
      <w:pPr>
        <w:numPr>
          <w:ilvl w:val="2"/>
          <w:numId w:val="4"/>
        </w:numPr>
        <w:autoSpaceDN w:val="0"/>
        <w:spacing w:after="120"/>
        <w:ind w:left="1860"/>
        <w:rPr>
          <w:sz w:val="21"/>
          <w:szCs w:val="21"/>
          <w:highlight w:val="none"/>
          <w:lang w:val="en-US" w:eastAsia="zh-CN"/>
        </w:rPr>
      </w:pPr>
      <w:r>
        <w:rPr>
          <w:rFonts w:hint="eastAsia"/>
          <w:sz w:val="21"/>
          <w:szCs w:val="21"/>
          <w:highlight w:val="none"/>
          <w:lang w:val="en-US" w:eastAsia="zh-CN"/>
        </w:rPr>
        <w:t>Follow the agreement from RAN2, per band type.</w:t>
      </w:r>
    </w:p>
    <w:p>
      <w:pPr>
        <w:pStyle w:val="74"/>
        <w:overflowPunct/>
        <w:autoSpaceDE/>
        <w:autoSpaceDN/>
        <w:adjustRightInd/>
        <w:spacing w:after="120"/>
        <w:ind w:firstLine="0" w:firstLineChars="0"/>
        <w:textAlignment w:val="auto"/>
        <w:rPr>
          <w:rFonts w:eastAsia="宋体"/>
          <w:sz w:val="21"/>
          <w:szCs w:val="21"/>
          <w:highlight w:val="none"/>
          <w:lang w:eastAsia="zh-CN"/>
        </w:rPr>
      </w:pPr>
    </w:p>
    <w:p>
      <w:pPr>
        <w:rPr>
          <w:b/>
          <w:sz w:val="21"/>
          <w:szCs w:val="21"/>
          <w:highlight w:val="none"/>
          <w:u w:val="single"/>
          <w:lang w:val="en-US" w:eastAsia="zh-CN"/>
        </w:rPr>
      </w:pPr>
      <w:r>
        <w:rPr>
          <w:rFonts w:hint="eastAsia"/>
          <w:b/>
          <w:sz w:val="21"/>
          <w:szCs w:val="21"/>
          <w:highlight w:val="none"/>
          <w:u w:val="single"/>
          <w:lang w:val="en-US" w:eastAsia="ko-KR"/>
        </w:rPr>
        <w:t>Issue 1-</w:t>
      </w:r>
      <w:r>
        <w:rPr>
          <w:rFonts w:hint="eastAsia"/>
          <w:b/>
          <w:sz w:val="21"/>
          <w:szCs w:val="21"/>
          <w:highlight w:val="none"/>
          <w:u w:val="single"/>
          <w:lang w:val="en-US" w:eastAsia="zh-CN"/>
        </w:rPr>
        <w:t>2</w:t>
      </w:r>
      <w:r>
        <w:rPr>
          <w:rFonts w:hint="eastAsia"/>
          <w:b/>
          <w:sz w:val="21"/>
          <w:szCs w:val="21"/>
          <w:highlight w:val="none"/>
          <w:u w:val="single"/>
          <w:lang w:val="en-US" w:eastAsia="ko-KR"/>
        </w:rPr>
        <w:t xml:space="preserve">: </w:t>
      </w:r>
      <w:r>
        <w:rPr>
          <w:rFonts w:hint="eastAsia"/>
          <w:b/>
          <w:sz w:val="21"/>
          <w:szCs w:val="21"/>
          <w:highlight w:val="none"/>
          <w:u w:val="single"/>
          <w:lang w:val="en-US" w:eastAsia="zh-CN"/>
        </w:rPr>
        <w:t>TCI state requirements for ATG UE with the antenna array</w:t>
      </w:r>
    </w:p>
    <w:p>
      <w:pPr>
        <w:spacing w:after="120"/>
        <w:rPr>
          <w:rFonts w:hint="eastAsia"/>
          <w:sz w:val="21"/>
          <w:szCs w:val="21"/>
          <w:highlight w:val="none"/>
          <w:lang w:val="en-US" w:eastAsia="zh-CN"/>
        </w:rPr>
      </w:pPr>
      <w:r>
        <w:rPr>
          <w:rFonts w:hint="eastAsia"/>
          <w:sz w:val="21"/>
          <w:szCs w:val="21"/>
          <w:highlight w:val="none"/>
          <w:lang w:val="en-US" w:eastAsia="zh-CN"/>
        </w:rPr>
        <w:t>Agreement:</w:t>
      </w:r>
    </w:p>
    <w:p>
      <w:pPr>
        <w:numPr>
          <w:ilvl w:val="2"/>
          <w:numId w:val="4"/>
        </w:numPr>
        <w:autoSpaceDN w:val="0"/>
        <w:spacing w:after="120"/>
        <w:ind w:left="1860"/>
        <w:rPr>
          <w:sz w:val="21"/>
          <w:szCs w:val="21"/>
          <w:highlight w:val="none"/>
          <w:lang w:val="en-US" w:eastAsia="zh-CN"/>
        </w:rPr>
      </w:pPr>
      <w:r>
        <w:rPr>
          <w:rFonts w:hint="eastAsia"/>
          <w:sz w:val="21"/>
          <w:szCs w:val="21"/>
          <w:highlight w:val="none"/>
          <w:lang w:val="en-US" w:eastAsia="zh-CN"/>
        </w:rPr>
        <w:t>TCI state requirements apply to both UE types: UE with antenna array and UE with omni-direction antenna. (HW)</w:t>
      </w:r>
    </w:p>
    <w:p>
      <w:pPr>
        <w:rPr>
          <w:b/>
          <w:sz w:val="21"/>
          <w:szCs w:val="21"/>
          <w:highlight w:val="none"/>
          <w:u w:val="single"/>
          <w:lang w:eastAsia="ko-KR"/>
        </w:rPr>
      </w:pPr>
    </w:p>
    <w:p>
      <w:pPr>
        <w:pStyle w:val="2"/>
        <w:numPr>
          <w:ilvl w:val="0"/>
          <w:numId w:val="3"/>
        </w:numPr>
        <w:pBdr>
          <w:top w:val="single" w:color="auto" w:sz="12" w:space="3"/>
        </w:pBdr>
        <w:spacing w:before="120" w:after="60" w:line="240" w:lineRule="auto"/>
        <w:rPr>
          <w:rFonts w:hint="eastAsia" w:eastAsia="宋体" w:cs="Arial"/>
          <w:b w:val="0"/>
          <w:bCs w:val="0"/>
          <w:kern w:val="0"/>
          <w:sz w:val="28"/>
          <w:szCs w:val="28"/>
          <w:highlight w:val="none"/>
          <w:lang w:val="en-US" w:eastAsia="ja-JP"/>
        </w:rPr>
      </w:pPr>
      <w:r>
        <w:rPr>
          <w:rFonts w:hint="eastAsia" w:eastAsia="宋体" w:cs="Arial"/>
          <w:b w:val="0"/>
          <w:bCs w:val="0"/>
          <w:kern w:val="0"/>
          <w:sz w:val="28"/>
          <w:szCs w:val="28"/>
          <w:highlight w:val="none"/>
          <w:lang w:val="en-US" w:eastAsia="ja-JP"/>
        </w:rPr>
        <w:t>Topic #</w:t>
      </w:r>
      <w:r>
        <w:rPr>
          <w:rFonts w:hint="eastAsia" w:eastAsia="宋体" w:cs="Arial"/>
          <w:b w:val="0"/>
          <w:bCs w:val="0"/>
          <w:kern w:val="0"/>
          <w:sz w:val="28"/>
          <w:szCs w:val="28"/>
          <w:highlight w:val="none"/>
          <w:lang w:val="en-US" w:eastAsia="zh-CN"/>
        </w:rPr>
        <w:t>2</w:t>
      </w:r>
      <w:r>
        <w:rPr>
          <w:rFonts w:hint="eastAsia" w:eastAsia="宋体" w:cs="Arial"/>
          <w:b w:val="0"/>
          <w:bCs w:val="0"/>
          <w:kern w:val="0"/>
          <w:sz w:val="28"/>
          <w:szCs w:val="28"/>
          <w:highlight w:val="none"/>
          <w:lang w:val="en-US" w:eastAsia="ja-JP"/>
        </w:rPr>
        <w:t xml:space="preserve">: </w:t>
      </w:r>
      <w:r>
        <w:rPr>
          <w:rFonts w:hint="eastAsia" w:eastAsia="宋体" w:cs="Arial"/>
          <w:b w:val="0"/>
          <w:bCs w:val="0"/>
          <w:kern w:val="0"/>
          <w:sz w:val="28"/>
          <w:szCs w:val="28"/>
          <w:highlight w:val="none"/>
          <w:lang w:val="en-US" w:eastAsia="zh-CN"/>
        </w:rPr>
        <w:t>ATG RRM performance requirements</w:t>
      </w:r>
    </w:p>
    <w:p>
      <w:pPr>
        <w:rPr>
          <w:b/>
          <w:sz w:val="21"/>
          <w:szCs w:val="21"/>
          <w:highlight w:val="none"/>
          <w:u w:val="single"/>
          <w:lang w:eastAsia="ko-KR"/>
        </w:rPr>
      </w:pPr>
      <w:r>
        <w:rPr>
          <w:b/>
          <w:sz w:val="21"/>
          <w:szCs w:val="21"/>
          <w:highlight w:val="none"/>
          <w:u w:val="single"/>
          <w:lang w:eastAsia="ko-KR"/>
        </w:rPr>
        <w:t xml:space="preserve">Issue </w:t>
      </w:r>
      <w:r>
        <w:rPr>
          <w:b/>
          <w:sz w:val="21"/>
          <w:szCs w:val="21"/>
          <w:highlight w:val="none"/>
          <w:u w:val="single"/>
        </w:rPr>
        <w:t>2-</w:t>
      </w:r>
      <w:r>
        <w:rPr>
          <w:b/>
          <w:sz w:val="21"/>
          <w:szCs w:val="21"/>
          <w:highlight w:val="none"/>
          <w:u w:val="single"/>
          <w:lang w:val="en-US" w:eastAsia="zh-CN"/>
        </w:rPr>
        <w:t>1</w:t>
      </w:r>
      <w:r>
        <w:rPr>
          <w:b/>
          <w:sz w:val="21"/>
          <w:szCs w:val="21"/>
          <w:highlight w:val="none"/>
          <w:u w:val="single"/>
          <w:lang w:eastAsia="ko-KR"/>
        </w:rPr>
        <w:t>: Test method for UE with antenna array</w:t>
      </w:r>
    </w:p>
    <w:p>
      <w:pPr>
        <w:spacing w:after="120"/>
        <w:rPr>
          <w:sz w:val="21"/>
          <w:szCs w:val="21"/>
          <w:highlight w:val="none"/>
          <w:lang w:val="en-US" w:eastAsia="zh-CN"/>
        </w:rPr>
      </w:pPr>
      <w:r>
        <w:rPr>
          <w:rFonts w:hint="eastAsia"/>
          <w:sz w:val="21"/>
          <w:szCs w:val="21"/>
          <w:highlight w:val="none"/>
          <w:lang w:val="en-US" w:eastAsia="zh-CN"/>
        </w:rPr>
        <w:t>A</w:t>
      </w:r>
      <w:r>
        <w:rPr>
          <w:sz w:val="21"/>
          <w:szCs w:val="21"/>
          <w:highlight w:val="none"/>
          <w:lang w:val="en-US" w:eastAsia="zh-CN"/>
        </w:rPr>
        <w:t>greement:</w:t>
      </w:r>
    </w:p>
    <w:p>
      <w:pPr>
        <w:numPr>
          <w:ilvl w:val="2"/>
          <w:numId w:val="4"/>
        </w:numPr>
        <w:autoSpaceDN w:val="0"/>
        <w:spacing w:after="120"/>
        <w:ind w:left="1860"/>
        <w:rPr>
          <w:sz w:val="21"/>
          <w:szCs w:val="21"/>
          <w:highlight w:val="none"/>
          <w:lang w:val="en-US" w:eastAsia="zh-CN"/>
        </w:rPr>
      </w:pPr>
      <w:r>
        <w:rPr>
          <w:sz w:val="21"/>
          <w:szCs w:val="21"/>
          <w:highlight w:val="none"/>
          <w:lang w:val="en-US" w:eastAsia="zh-CN"/>
        </w:rPr>
        <w:t xml:space="preserve">Endorse the CRs without scaling factor (scaling factor = [1]), and close the WI performance part in this meeting. </w:t>
      </w:r>
    </w:p>
    <w:p>
      <w:pPr>
        <w:numPr>
          <w:ilvl w:val="2"/>
          <w:numId w:val="4"/>
        </w:numPr>
        <w:autoSpaceDN w:val="0"/>
        <w:spacing w:after="120"/>
        <w:ind w:left="1860"/>
        <w:rPr>
          <w:sz w:val="21"/>
          <w:szCs w:val="21"/>
          <w:highlight w:val="none"/>
          <w:lang w:val="en-US" w:eastAsia="zh-CN"/>
        </w:rPr>
      </w:pPr>
      <w:r>
        <w:rPr>
          <w:sz w:val="21"/>
          <w:szCs w:val="21"/>
          <w:highlight w:val="none"/>
          <w:lang w:val="en-US" w:eastAsia="zh-CN"/>
        </w:rPr>
        <w:t>For the draft CRs, add an Editor’s note that: “the scaling factor may be revisited if needed”.</w:t>
      </w:r>
    </w:p>
    <w:p>
      <w:pPr>
        <w:rPr>
          <w:b/>
          <w:sz w:val="21"/>
          <w:szCs w:val="21"/>
          <w:highlight w:val="none"/>
          <w:u w:val="single"/>
          <w:lang w:val="en-US" w:eastAsia="zh-CN"/>
        </w:rPr>
      </w:pPr>
      <w:r>
        <w:rPr>
          <w:b/>
          <w:sz w:val="21"/>
          <w:szCs w:val="21"/>
          <w:highlight w:val="none"/>
          <w:u w:val="single"/>
          <w:lang w:eastAsia="ko-KR"/>
        </w:rPr>
        <w:t xml:space="preserve">Issue </w:t>
      </w:r>
      <w:r>
        <w:rPr>
          <w:b/>
          <w:sz w:val="21"/>
          <w:szCs w:val="21"/>
          <w:highlight w:val="none"/>
          <w:u w:val="single"/>
          <w:lang w:val="en-US" w:eastAsia="zh-CN"/>
        </w:rPr>
        <w:t>2-2</w:t>
      </w:r>
      <w:r>
        <w:rPr>
          <w:b/>
          <w:sz w:val="21"/>
          <w:szCs w:val="21"/>
          <w:highlight w:val="none"/>
          <w:u w:val="single"/>
          <w:lang w:eastAsia="ko-KR"/>
        </w:rPr>
        <w:t xml:space="preserve">: </w:t>
      </w:r>
      <w:r>
        <w:rPr>
          <w:b/>
          <w:sz w:val="21"/>
          <w:szCs w:val="21"/>
          <w:highlight w:val="none"/>
          <w:u w:val="single"/>
          <w:lang w:val="en-US" w:eastAsia="zh-CN"/>
        </w:rPr>
        <w:t>UE mobility/location assumption for location-based CHO</w:t>
      </w:r>
    </w:p>
    <w:p>
      <w:pPr>
        <w:rPr>
          <w:b/>
          <w:sz w:val="21"/>
          <w:szCs w:val="21"/>
          <w:highlight w:val="none"/>
          <w:u w:val="single"/>
          <w:lang w:val="en-US" w:eastAsia="zh-CN"/>
        </w:rPr>
      </w:pPr>
      <w:r>
        <w:rPr>
          <w:rFonts w:hint="eastAsia" w:eastAsia="等线"/>
          <w:sz w:val="21"/>
          <w:szCs w:val="21"/>
          <w:highlight w:val="none"/>
          <w:lang w:eastAsia="zh-CN"/>
        </w:rPr>
        <w:t>A</w:t>
      </w:r>
      <w:r>
        <w:rPr>
          <w:rFonts w:eastAsia="等线"/>
          <w:sz w:val="21"/>
          <w:szCs w:val="21"/>
          <w:highlight w:val="none"/>
          <w:lang w:eastAsia="zh-CN"/>
        </w:rPr>
        <w:t>greement:</w:t>
      </w:r>
    </w:p>
    <w:p>
      <w:pPr>
        <w:numPr>
          <w:ilvl w:val="2"/>
          <w:numId w:val="4"/>
        </w:numPr>
        <w:autoSpaceDN w:val="0"/>
        <w:spacing w:after="120"/>
        <w:ind w:left="1860"/>
        <w:rPr>
          <w:sz w:val="21"/>
          <w:szCs w:val="21"/>
          <w:highlight w:val="none"/>
        </w:rPr>
      </w:pPr>
      <w:r>
        <w:rPr>
          <w:sz w:val="21"/>
          <w:szCs w:val="21"/>
          <w:highlight w:val="none"/>
        </w:rPr>
        <w:t>[UE location, speed (1200 km/h), heading direction] shall be provide to UE via AT command.</w:t>
      </w:r>
    </w:p>
    <w:p>
      <w:pPr>
        <w:numPr>
          <w:ilvl w:val="2"/>
          <w:numId w:val="4"/>
        </w:numPr>
        <w:autoSpaceDN w:val="0"/>
        <w:spacing w:after="120"/>
        <w:ind w:left="1860"/>
        <w:rPr>
          <w:sz w:val="21"/>
          <w:szCs w:val="21"/>
          <w:highlight w:val="none"/>
        </w:rPr>
      </w:pPr>
      <w:r>
        <w:rPr>
          <w:sz w:val="21"/>
          <w:szCs w:val="21"/>
          <w:highlight w:val="none"/>
        </w:rPr>
        <w:t>RAN4 is responsible to design the initial UE location, UE speed, reference location, and distance threshold. The UE location change should be set with the consideration of two distance threshold istanceThreshFromReference1 and distanceThreshFromReference2.</w:t>
      </w:r>
    </w:p>
    <w:p>
      <w:pPr>
        <w:numPr>
          <w:ilvl w:val="3"/>
          <w:numId w:val="4"/>
        </w:numPr>
        <w:autoSpaceDN w:val="0"/>
        <w:spacing w:after="120"/>
        <w:ind w:left="2280" w:leftChars="0"/>
        <w:rPr>
          <w:bCs/>
          <w:sz w:val="21"/>
          <w:szCs w:val="21"/>
          <w:highlight w:val="none"/>
          <w:lang w:val="en-US" w:eastAsia="zh-CN"/>
        </w:rPr>
      </w:pPr>
      <w:r>
        <w:rPr>
          <w:bCs/>
          <w:sz w:val="21"/>
          <w:szCs w:val="21"/>
          <w:highlight w:val="none"/>
          <w:lang w:val="en-US" w:eastAsia="zh-CN"/>
        </w:rPr>
        <w:t>In the intra-frequency distance-based CHO test case, D1-1 and D1-2 location condition can be fulfilled at T2 (earlier than T</w:t>
      </w:r>
      <w:r>
        <w:rPr>
          <w:bCs/>
          <w:sz w:val="21"/>
          <w:szCs w:val="21"/>
          <w:highlight w:val="none"/>
          <w:vertAlign w:val="subscript"/>
          <w:lang w:val="en-US" w:eastAsia="zh-CN"/>
        </w:rPr>
        <w:t>Event_DU</w:t>
      </w:r>
      <w:r>
        <w:rPr>
          <w:bCs/>
          <w:sz w:val="21"/>
          <w:szCs w:val="21"/>
          <w:highlight w:val="none"/>
          <w:lang w:val="en-US" w:eastAsia="zh-CN"/>
        </w:rPr>
        <w:t xml:space="preserve"> + T</w:t>
      </w:r>
      <w:r>
        <w:rPr>
          <w:bCs/>
          <w:sz w:val="21"/>
          <w:szCs w:val="21"/>
          <w:highlight w:val="none"/>
          <w:vertAlign w:val="subscript"/>
          <w:lang w:val="en-US" w:eastAsia="zh-CN"/>
        </w:rPr>
        <w:t>identify_intra</w:t>
      </w:r>
      <w:r>
        <w:rPr>
          <w:bCs/>
          <w:sz w:val="21"/>
          <w:szCs w:val="21"/>
          <w:highlight w:val="none"/>
          <w:lang w:val="en-US" w:eastAsia="zh-CN"/>
        </w:rPr>
        <w:t>).</w:t>
      </w:r>
    </w:p>
    <w:p>
      <w:pPr>
        <w:numPr>
          <w:ilvl w:val="3"/>
          <w:numId w:val="4"/>
        </w:numPr>
        <w:autoSpaceDN w:val="0"/>
        <w:spacing w:after="120"/>
        <w:ind w:left="2280" w:leftChars="0"/>
        <w:rPr>
          <w:bCs/>
          <w:sz w:val="21"/>
          <w:szCs w:val="21"/>
          <w:highlight w:val="none"/>
          <w:lang w:val="en-US" w:eastAsia="zh-CN"/>
        </w:rPr>
      </w:pPr>
      <w:r>
        <w:rPr>
          <w:bCs/>
          <w:sz w:val="21"/>
          <w:szCs w:val="21"/>
          <w:highlight w:val="none"/>
          <w:lang w:val="en-US" w:eastAsia="zh-CN"/>
        </w:rPr>
        <w:t>In the inter-frequency distance-based CHO test case, D1-1 and D1-2 location condition can be fulfilled later than T2 (later than T</w:t>
      </w:r>
      <w:r>
        <w:rPr>
          <w:bCs/>
          <w:sz w:val="21"/>
          <w:szCs w:val="21"/>
          <w:highlight w:val="none"/>
          <w:vertAlign w:val="subscript"/>
          <w:lang w:val="en-US" w:eastAsia="zh-CN"/>
        </w:rPr>
        <w:t>Event_DU</w:t>
      </w:r>
      <w:r>
        <w:rPr>
          <w:bCs/>
          <w:sz w:val="21"/>
          <w:szCs w:val="21"/>
          <w:highlight w:val="none"/>
          <w:lang w:val="en-US" w:eastAsia="zh-CN"/>
        </w:rPr>
        <w:t xml:space="preserve"> + T</w:t>
      </w:r>
      <w:r>
        <w:rPr>
          <w:bCs/>
          <w:sz w:val="21"/>
          <w:szCs w:val="21"/>
          <w:highlight w:val="none"/>
          <w:vertAlign w:val="subscript"/>
          <w:lang w:val="en-US" w:eastAsia="zh-CN"/>
        </w:rPr>
        <w:t>identify_int</w:t>
      </w:r>
      <w:r>
        <w:rPr>
          <w:rFonts w:hint="eastAsia"/>
          <w:bCs/>
          <w:sz w:val="21"/>
          <w:szCs w:val="21"/>
          <w:highlight w:val="none"/>
          <w:vertAlign w:val="subscript"/>
          <w:lang w:val="en-US" w:eastAsia="zh-CN"/>
        </w:rPr>
        <w:t>er</w:t>
      </w:r>
      <w:r>
        <w:rPr>
          <w:bCs/>
          <w:sz w:val="21"/>
          <w:szCs w:val="21"/>
          <w:highlight w:val="none"/>
          <w:lang w:val="en-US" w:eastAsia="zh-CN"/>
        </w:rPr>
        <w:t>)</w:t>
      </w:r>
    </w:p>
    <w:p>
      <w:pPr>
        <w:rPr>
          <w:b/>
          <w:sz w:val="21"/>
          <w:szCs w:val="21"/>
          <w:highlight w:val="none"/>
          <w:u w:val="single"/>
          <w:lang w:val="en-US" w:eastAsia="zh-CN"/>
        </w:rPr>
      </w:pPr>
      <w:r>
        <w:rPr>
          <w:b/>
          <w:sz w:val="21"/>
          <w:szCs w:val="21"/>
          <w:highlight w:val="none"/>
          <w:u w:val="single"/>
          <w:lang w:eastAsia="ko-KR"/>
        </w:rPr>
        <w:t xml:space="preserve">Issue </w:t>
      </w:r>
      <w:r>
        <w:rPr>
          <w:b/>
          <w:sz w:val="21"/>
          <w:szCs w:val="21"/>
          <w:highlight w:val="none"/>
          <w:u w:val="single"/>
          <w:lang w:val="en-US" w:eastAsia="zh-CN"/>
        </w:rPr>
        <w:t>2-3</w:t>
      </w:r>
      <w:r>
        <w:rPr>
          <w:b/>
          <w:sz w:val="21"/>
          <w:szCs w:val="21"/>
          <w:highlight w:val="none"/>
          <w:u w:val="single"/>
          <w:lang w:eastAsia="ko-KR"/>
        </w:rPr>
        <w:t xml:space="preserve">: </w:t>
      </w:r>
      <w:r>
        <w:rPr>
          <w:b/>
          <w:sz w:val="21"/>
          <w:szCs w:val="21"/>
          <w:highlight w:val="none"/>
          <w:u w:val="single"/>
          <w:lang w:val="en-US" w:eastAsia="zh-CN"/>
        </w:rPr>
        <w:t>UE mobility/location assumption for UL transmit timing test</w:t>
      </w:r>
    </w:p>
    <w:p>
      <w:pPr>
        <w:spacing w:after="120"/>
        <w:contextualSpacing/>
        <w:rPr>
          <w:sz w:val="21"/>
          <w:szCs w:val="21"/>
          <w:highlight w:val="none"/>
          <w:lang w:val="en-US" w:eastAsia="zh-CN"/>
        </w:rPr>
      </w:pPr>
      <w:r>
        <w:rPr>
          <w:rFonts w:hint="eastAsia"/>
          <w:sz w:val="21"/>
          <w:szCs w:val="21"/>
          <w:highlight w:val="none"/>
          <w:lang w:val="en-US" w:eastAsia="zh-CN"/>
        </w:rPr>
        <w:t>A</w:t>
      </w:r>
      <w:r>
        <w:rPr>
          <w:sz w:val="21"/>
          <w:szCs w:val="21"/>
          <w:highlight w:val="none"/>
          <w:lang w:val="en-US" w:eastAsia="zh-CN"/>
        </w:rPr>
        <w:t>greement:</w:t>
      </w:r>
    </w:p>
    <w:p>
      <w:pPr>
        <w:numPr>
          <w:ilvl w:val="2"/>
          <w:numId w:val="4"/>
        </w:numPr>
        <w:autoSpaceDN w:val="0"/>
        <w:spacing w:after="120"/>
        <w:ind w:left="1860"/>
        <w:rPr>
          <w:sz w:val="21"/>
          <w:szCs w:val="21"/>
          <w:highlight w:val="none"/>
          <w:lang w:val="en-US" w:eastAsia="zh-CN"/>
        </w:rPr>
      </w:pPr>
      <w:r>
        <w:rPr>
          <w:sz w:val="21"/>
          <w:szCs w:val="21"/>
          <w:highlight w:val="none"/>
          <w:lang w:val="en-US" w:eastAsia="zh-CN"/>
        </w:rPr>
        <w:t>Changed UE location with the mobility assumption of 1200km/h, the specific UE location should be emulated by test system and provided to UE by AT command (if the UE position can be updated based on target rate by AT command) or GNSS simulator.</w:t>
      </w:r>
    </w:p>
    <w:p>
      <w:pPr>
        <w:rPr>
          <w:b/>
          <w:sz w:val="21"/>
          <w:szCs w:val="21"/>
          <w:highlight w:val="none"/>
          <w:u w:val="single"/>
          <w:lang w:eastAsia="ko-KR"/>
        </w:rPr>
      </w:pPr>
    </w:p>
    <w:p>
      <w:pPr>
        <w:rPr>
          <w:b/>
          <w:sz w:val="21"/>
          <w:szCs w:val="21"/>
          <w:highlight w:val="none"/>
          <w:u w:val="single"/>
          <w:lang w:val="en-US" w:eastAsia="zh-CN"/>
        </w:rPr>
      </w:pPr>
      <w:r>
        <w:rPr>
          <w:b/>
          <w:sz w:val="21"/>
          <w:szCs w:val="21"/>
          <w:highlight w:val="none"/>
          <w:u w:val="single"/>
          <w:lang w:val="en-US" w:eastAsia="zh-CN"/>
        </w:rPr>
        <w:t>Issue 2-4: Test configuration: BS location</w:t>
      </w:r>
    </w:p>
    <w:p>
      <w:pPr>
        <w:spacing w:after="120"/>
        <w:contextualSpacing/>
        <w:rPr>
          <w:rFonts w:hint="eastAsia"/>
          <w:sz w:val="21"/>
          <w:szCs w:val="21"/>
          <w:highlight w:val="none"/>
          <w:lang w:val="en-US" w:eastAsia="zh-CN"/>
        </w:rPr>
      </w:pPr>
      <w:r>
        <w:rPr>
          <w:rFonts w:hint="eastAsia"/>
          <w:sz w:val="21"/>
          <w:szCs w:val="21"/>
          <w:highlight w:val="none"/>
          <w:lang w:val="en-US" w:eastAsia="zh-CN"/>
        </w:rPr>
        <w:t>Agreement:</w:t>
      </w:r>
    </w:p>
    <w:p>
      <w:pPr>
        <w:numPr>
          <w:ilvl w:val="2"/>
          <w:numId w:val="4"/>
        </w:numPr>
        <w:autoSpaceDN w:val="0"/>
        <w:spacing w:after="120"/>
        <w:ind w:left="1860"/>
        <w:rPr>
          <w:sz w:val="21"/>
          <w:szCs w:val="21"/>
          <w:highlight w:val="none"/>
          <w:lang w:eastAsia="ko-KR"/>
        </w:rPr>
      </w:pPr>
      <w:r>
        <w:rPr>
          <w:sz w:val="21"/>
          <w:szCs w:val="21"/>
          <w:highlight w:val="none"/>
        </w:rPr>
        <w:t>The BS location should be emulated by test system.</w:t>
      </w:r>
    </w:p>
    <w:p>
      <w:pPr>
        <w:rPr>
          <w:b/>
          <w:sz w:val="21"/>
          <w:szCs w:val="21"/>
          <w:highlight w:val="none"/>
          <w:u w:val="single"/>
          <w:lang w:eastAsia="ko-KR"/>
        </w:rPr>
      </w:pPr>
    </w:p>
    <w:p>
      <w:pPr>
        <w:rPr>
          <w:b/>
          <w:sz w:val="21"/>
          <w:szCs w:val="21"/>
          <w:highlight w:val="none"/>
          <w:u w:val="single"/>
          <w:lang w:val="en-US" w:eastAsia="zh-CN"/>
        </w:rPr>
      </w:pPr>
      <w:r>
        <w:rPr>
          <w:b/>
          <w:sz w:val="21"/>
          <w:szCs w:val="21"/>
          <w:highlight w:val="none"/>
          <w:u w:val="single"/>
          <w:lang w:val="en-US" w:eastAsia="zh-CN"/>
        </w:rPr>
        <w:t>Issue 2-5: Test configuration: Channel model for changed UE location/ UE speed larger than 0km/h</w:t>
      </w:r>
    </w:p>
    <w:p>
      <w:pPr>
        <w:spacing w:after="120"/>
        <w:contextualSpacing/>
        <w:rPr>
          <w:rFonts w:hint="eastAsia"/>
          <w:sz w:val="21"/>
          <w:szCs w:val="21"/>
          <w:highlight w:val="none"/>
          <w:lang w:val="en-US" w:eastAsia="zh-CN"/>
        </w:rPr>
      </w:pPr>
      <w:r>
        <w:rPr>
          <w:rFonts w:hint="eastAsia"/>
          <w:sz w:val="21"/>
          <w:szCs w:val="21"/>
          <w:highlight w:val="none"/>
          <w:lang w:val="en-US" w:eastAsia="zh-CN"/>
        </w:rPr>
        <w:t>Agreement:</w:t>
      </w:r>
    </w:p>
    <w:p>
      <w:pPr>
        <w:numPr>
          <w:ilvl w:val="2"/>
          <w:numId w:val="4"/>
        </w:numPr>
        <w:autoSpaceDN w:val="0"/>
        <w:spacing w:after="120"/>
        <w:ind w:left="1860"/>
        <w:rPr>
          <w:sz w:val="21"/>
          <w:szCs w:val="21"/>
          <w:highlight w:val="none"/>
        </w:rPr>
      </w:pPr>
      <w:r>
        <w:rPr>
          <w:sz w:val="21"/>
          <w:szCs w:val="21"/>
          <w:highlight w:val="none"/>
        </w:rPr>
        <w:t>For the test cases that UE speed larger than 0km/h:</w:t>
      </w:r>
    </w:p>
    <w:p>
      <w:pPr>
        <w:numPr>
          <w:ilvl w:val="3"/>
          <w:numId w:val="4"/>
        </w:numPr>
        <w:autoSpaceDN w:val="0"/>
        <w:spacing w:after="120"/>
        <w:ind w:left="2280" w:leftChars="0"/>
        <w:rPr>
          <w:bCs/>
          <w:sz w:val="21"/>
          <w:szCs w:val="21"/>
          <w:highlight w:val="none"/>
          <w:lang w:val="en-US" w:eastAsia="ko-KR"/>
        </w:rPr>
      </w:pPr>
      <w:r>
        <w:rPr>
          <w:bCs/>
          <w:sz w:val="21"/>
          <w:szCs w:val="21"/>
          <w:highlight w:val="none"/>
          <w:lang w:val="en-US" w:eastAsia="zh-CN"/>
        </w:rPr>
        <w:t>RAN4 provide the maximum doppler consider the UE speed and maximum carrier frequency, the specific doppler shift trajectory is up to test system’s design considering of BS location and UE location emulation</w:t>
      </w:r>
    </w:p>
    <w:p>
      <w:pPr>
        <w:rPr>
          <w:b/>
          <w:sz w:val="21"/>
          <w:szCs w:val="21"/>
          <w:highlight w:val="none"/>
          <w:u w:val="single"/>
          <w:lang w:eastAsia="ko-KR"/>
        </w:rPr>
      </w:pPr>
    </w:p>
    <w:p>
      <w:pPr>
        <w:rPr>
          <w:b/>
          <w:sz w:val="21"/>
          <w:szCs w:val="21"/>
          <w:highlight w:val="none"/>
          <w:u w:val="single"/>
          <w:lang w:val="en-US" w:eastAsia="zh-CN"/>
        </w:rPr>
      </w:pPr>
      <w:r>
        <w:rPr>
          <w:rFonts w:hint="eastAsia"/>
          <w:b/>
          <w:sz w:val="21"/>
          <w:szCs w:val="21"/>
          <w:highlight w:val="none"/>
          <w:u w:val="single"/>
          <w:lang w:val="en-US" w:eastAsia="zh-CN"/>
        </w:rPr>
        <w:t>Issue 2-6: Test configuration: cell-specific koffset</w:t>
      </w:r>
    </w:p>
    <w:p>
      <w:pPr>
        <w:spacing w:after="120"/>
        <w:contextualSpacing/>
        <w:rPr>
          <w:rFonts w:hint="eastAsia"/>
          <w:sz w:val="21"/>
          <w:szCs w:val="21"/>
          <w:highlight w:val="none"/>
          <w:lang w:val="en-US" w:eastAsia="zh-CN"/>
        </w:rPr>
      </w:pPr>
      <w:r>
        <w:rPr>
          <w:rFonts w:hint="eastAsia"/>
          <w:sz w:val="21"/>
          <w:szCs w:val="21"/>
          <w:highlight w:val="none"/>
          <w:lang w:val="en-US" w:eastAsia="zh-CN"/>
        </w:rPr>
        <w:t xml:space="preserve">Agreement: </w:t>
      </w:r>
    </w:p>
    <w:p>
      <w:pPr>
        <w:numPr>
          <w:ilvl w:val="2"/>
          <w:numId w:val="4"/>
        </w:numPr>
        <w:autoSpaceDN w:val="0"/>
        <w:spacing w:after="120"/>
        <w:ind w:left="1860"/>
        <w:rPr>
          <w:rFonts w:eastAsia="宋体"/>
          <w:sz w:val="21"/>
          <w:szCs w:val="21"/>
          <w:highlight w:val="none"/>
          <w:lang w:eastAsia="zh-CN"/>
        </w:rPr>
      </w:pPr>
      <w:r>
        <w:rPr>
          <w:rFonts w:hint="eastAsia" w:eastAsia="等线"/>
          <w:sz w:val="21"/>
          <w:szCs w:val="21"/>
          <w:highlight w:val="none"/>
          <w:lang w:val="en-US" w:eastAsia="zh-CN"/>
        </w:rPr>
        <w:t>The ce</w:t>
      </w:r>
      <w:r>
        <w:rPr>
          <w:rFonts w:hint="eastAsia"/>
          <w:sz w:val="21"/>
          <w:szCs w:val="21"/>
          <w:highlight w:val="none"/>
          <w:lang w:val="en-US" w:eastAsia="zh-CN"/>
        </w:rPr>
        <w:t>ll specific k</w:t>
      </w:r>
      <w:r>
        <w:rPr>
          <w:rFonts w:hint="eastAsia"/>
          <w:sz w:val="21"/>
          <w:szCs w:val="21"/>
          <w:highlight w:val="none"/>
          <w:vertAlign w:val="subscript"/>
          <w:lang w:val="en-US" w:eastAsia="zh-CN"/>
        </w:rPr>
        <w:t>offset</w:t>
      </w:r>
      <w:r>
        <w:rPr>
          <w:rFonts w:hint="eastAsia"/>
          <w:sz w:val="21"/>
          <w:szCs w:val="21"/>
          <w:highlight w:val="none"/>
          <w:lang w:val="en-US" w:eastAsia="zh-CN"/>
        </w:rPr>
        <w:t xml:space="preserve"> can be configured as a common parameter. The upper bound 3ms can be considered when RAN4 define the specific value.</w:t>
      </w:r>
    </w:p>
    <w:p>
      <w:pPr>
        <w:rPr>
          <w:b/>
          <w:sz w:val="21"/>
          <w:szCs w:val="21"/>
          <w:highlight w:val="none"/>
          <w:u w:val="single"/>
          <w:lang w:eastAsia="ko-KR"/>
        </w:rPr>
      </w:pPr>
    </w:p>
    <w:p>
      <w:pPr>
        <w:rPr>
          <w:sz w:val="21"/>
          <w:szCs w:val="21"/>
          <w:highlight w:val="none"/>
          <w:lang w:val="en-US" w:eastAsia="zh-CN"/>
        </w:rPr>
      </w:pPr>
      <w:r>
        <w:rPr>
          <w:b/>
          <w:sz w:val="21"/>
          <w:szCs w:val="21"/>
          <w:highlight w:val="none"/>
          <w:u w:val="single"/>
          <w:lang w:eastAsia="ko-KR"/>
        </w:rPr>
        <w:t xml:space="preserve">Issue </w:t>
      </w:r>
      <w:r>
        <w:rPr>
          <w:rFonts w:hint="eastAsia"/>
          <w:b/>
          <w:sz w:val="21"/>
          <w:szCs w:val="21"/>
          <w:highlight w:val="none"/>
          <w:u w:val="single"/>
          <w:lang w:val="en-US" w:eastAsia="zh-CN"/>
        </w:rPr>
        <w:t>2-7</w:t>
      </w:r>
      <w:r>
        <w:rPr>
          <w:b/>
          <w:sz w:val="21"/>
          <w:szCs w:val="21"/>
          <w:highlight w:val="none"/>
          <w:u w:val="single"/>
          <w:lang w:eastAsia="ko-KR"/>
        </w:rPr>
        <w:t xml:space="preserve">: </w:t>
      </w:r>
      <w:r>
        <w:rPr>
          <w:rFonts w:hint="eastAsia"/>
          <w:b/>
          <w:sz w:val="21"/>
          <w:szCs w:val="21"/>
          <w:highlight w:val="none"/>
          <w:u w:val="single"/>
          <w:lang w:val="en-US" w:eastAsia="zh-CN"/>
        </w:rPr>
        <w:t>Test configuration: network assistance on ATG cells reference location</w:t>
      </w:r>
    </w:p>
    <w:p>
      <w:pPr>
        <w:spacing w:after="120"/>
        <w:contextualSpacing/>
        <w:rPr>
          <w:rFonts w:hint="eastAsia"/>
          <w:sz w:val="21"/>
          <w:szCs w:val="21"/>
          <w:highlight w:val="none"/>
          <w:lang w:val="en-US" w:eastAsia="zh-CN"/>
        </w:rPr>
      </w:pPr>
      <w:r>
        <w:rPr>
          <w:rFonts w:hint="eastAsia"/>
          <w:sz w:val="21"/>
          <w:szCs w:val="21"/>
          <w:highlight w:val="none"/>
          <w:lang w:val="en-US" w:eastAsia="zh-CN"/>
        </w:rPr>
        <w:t xml:space="preserve">Agreement: </w:t>
      </w:r>
    </w:p>
    <w:p>
      <w:pPr>
        <w:numPr>
          <w:ilvl w:val="2"/>
          <w:numId w:val="4"/>
        </w:numPr>
        <w:autoSpaceDN w:val="0"/>
        <w:spacing w:after="120"/>
        <w:ind w:left="1860"/>
        <w:rPr>
          <w:rFonts w:hint="eastAsia" w:eastAsia="等线"/>
          <w:sz w:val="21"/>
          <w:szCs w:val="21"/>
          <w:highlight w:val="none"/>
          <w:lang w:val="en-US" w:eastAsia="zh-CN"/>
        </w:rPr>
      </w:pPr>
      <w:r>
        <w:rPr>
          <w:rFonts w:hint="eastAsia" w:eastAsia="等线"/>
          <w:sz w:val="21"/>
          <w:szCs w:val="21"/>
          <w:highlight w:val="none"/>
          <w:lang w:val="en-US" w:eastAsia="zh-CN"/>
        </w:rPr>
        <w:t xml:space="preserve">For the CRs in this meeting, no network assistance on ATG cells reference location in the configuration. </w:t>
      </w:r>
    </w:p>
    <w:p>
      <w:pPr>
        <w:numPr>
          <w:ilvl w:val="2"/>
          <w:numId w:val="4"/>
        </w:numPr>
        <w:autoSpaceDN w:val="0"/>
        <w:spacing w:after="120"/>
        <w:ind w:left="1860"/>
        <w:rPr>
          <w:rFonts w:hint="eastAsia" w:eastAsia="等线"/>
          <w:sz w:val="21"/>
          <w:szCs w:val="21"/>
          <w:highlight w:val="none"/>
          <w:lang w:val="en-US" w:eastAsia="zh-CN"/>
        </w:rPr>
      </w:pPr>
      <w:r>
        <w:rPr>
          <w:rFonts w:hint="eastAsia" w:eastAsia="等线"/>
          <w:sz w:val="21"/>
          <w:szCs w:val="21"/>
          <w:highlight w:val="none"/>
          <w:lang w:val="en-US" w:eastAsia="zh-CN"/>
        </w:rPr>
        <w:t>Further discuss the issue if the scaling factor will be agreed in the next meeting.</w:t>
      </w:r>
    </w:p>
    <w:p>
      <w:pPr>
        <w:rPr>
          <w:b/>
          <w:sz w:val="21"/>
          <w:szCs w:val="21"/>
          <w:highlight w:val="none"/>
          <w:u w:val="single"/>
          <w:lang w:val="en-US" w:eastAsia="zh-CN"/>
        </w:rPr>
      </w:pPr>
      <w:r>
        <w:rPr>
          <w:b/>
          <w:sz w:val="21"/>
          <w:szCs w:val="21"/>
          <w:highlight w:val="none"/>
          <w:u w:val="single"/>
          <w:lang w:eastAsia="ko-KR"/>
        </w:rPr>
        <w:t xml:space="preserve">Issue </w:t>
      </w:r>
      <w:r>
        <w:rPr>
          <w:rFonts w:hint="eastAsia"/>
          <w:b/>
          <w:sz w:val="21"/>
          <w:szCs w:val="21"/>
          <w:highlight w:val="none"/>
          <w:u w:val="single"/>
          <w:lang w:val="en-US" w:eastAsia="zh-CN"/>
        </w:rPr>
        <w:t>2-8</w:t>
      </w:r>
      <w:r>
        <w:rPr>
          <w:b/>
          <w:sz w:val="21"/>
          <w:szCs w:val="21"/>
          <w:highlight w:val="none"/>
          <w:u w:val="single"/>
          <w:lang w:eastAsia="ko-KR"/>
        </w:rPr>
        <w:t xml:space="preserve">: </w:t>
      </w:r>
      <w:r>
        <w:rPr>
          <w:rFonts w:hint="eastAsia"/>
          <w:b/>
          <w:sz w:val="21"/>
          <w:szCs w:val="21"/>
          <w:highlight w:val="none"/>
          <w:u w:val="single"/>
          <w:lang w:val="en-US" w:eastAsia="zh-CN"/>
        </w:rPr>
        <w:t>Test configuration: number of neighbour cells for test for ATG UE with the antenna array</w:t>
      </w:r>
    </w:p>
    <w:p>
      <w:pPr>
        <w:spacing w:after="120"/>
        <w:rPr>
          <w:rFonts w:hint="eastAsia"/>
          <w:sz w:val="21"/>
          <w:szCs w:val="21"/>
          <w:highlight w:val="none"/>
          <w:lang w:val="en-US" w:eastAsia="zh-CN"/>
        </w:rPr>
      </w:pPr>
      <w:r>
        <w:rPr>
          <w:rFonts w:hint="eastAsia"/>
          <w:sz w:val="21"/>
          <w:szCs w:val="21"/>
          <w:highlight w:val="none"/>
          <w:lang w:val="en-US" w:eastAsia="zh-CN"/>
        </w:rPr>
        <w:t>Agreement:</w:t>
      </w:r>
    </w:p>
    <w:p>
      <w:pPr>
        <w:numPr>
          <w:ilvl w:val="2"/>
          <w:numId w:val="4"/>
        </w:numPr>
        <w:autoSpaceDN w:val="0"/>
        <w:spacing w:after="120"/>
        <w:ind w:left="1860"/>
        <w:rPr>
          <w:rFonts w:hint="eastAsia"/>
          <w:sz w:val="21"/>
          <w:szCs w:val="21"/>
          <w:highlight w:val="none"/>
          <w:lang w:val="en-US" w:eastAsia="zh-CN"/>
        </w:rPr>
      </w:pPr>
      <w:r>
        <w:rPr>
          <w:rFonts w:hint="eastAsia"/>
          <w:sz w:val="21"/>
          <w:szCs w:val="21"/>
          <w:highlight w:val="none"/>
          <w:lang w:val="en-US" w:eastAsia="zh-CN"/>
        </w:rPr>
        <w:tab/>
      </w:r>
      <w:r>
        <w:rPr>
          <w:rFonts w:hint="eastAsia"/>
          <w:sz w:val="21"/>
          <w:szCs w:val="21"/>
          <w:highlight w:val="none"/>
          <w:lang w:val="en-US" w:eastAsia="zh-CN"/>
        </w:rPr>
        <w:t>Configure one neighbour cell in the test for UE with antenna array.</w:t>
      </w:r>
    </w:p>
    <w:p>
      <w:pPr>
        <w:rPr>
          <w:b/>
          <w:sz w:val="21"/>
          <w:szCs w:val="21"/>
          <w:highlight w:val="none"/>
          <w:u w:val="single"/>
          <w:lang w:val="en-US" w:eastAsia="zh-CN"/>
        </w:rPr>
      </w:pPr>
      <w:r>
        <w:rPr>
          <w:b/>
          <w:sz w:val="21"/>
          <w:szCs w:val="21"/>
          <w:highlight w:val="none"/>
          <w:u w:val="single"/>
          <w:lang w:eastAsia="ko-KR"/>
        </w:rPr>
        <w:t xml:space="preserve">Issue </w:t>
      </w:r>
      <w:r>
        <w:rPr>
          <w:rFonts w:hint="eastAsia"/>
          <w:b/>
          <w:sz w:val="21"/>
          <w:szCs w:val="21"/>
          <w:highlight w:val="none"/>
          <w:u w:val="single"/>
        </w:rPr>
        <w:t>2-</w:t>
      </w:r>
      <w:r>
        <w:rPr>
          <w:rFonts w:hint="eastAsia"/>
          <w:b/>
          <w:sz w:val="21"/>
          <w:szCs w:val="21"/>
          <w:highlight w:val="none"/>
          <w:u w:val="single"/>
          <w:lang w:val="en-US" w:eastAsia="zh-CN"/>
        </w:rPr>
        <w:t>9</w:t>
      </w:r>
      <w:r>
        <w:rPr>
          <w:b/>
          <w:sz w:val="21"/>
          <w:szCs w:val="21"/>
          <w:highlight w:val="none"/>
          <w:u w:val="single"/>
          <w:lang w:eastAsia="ko-KR"/>
        </w:rPr>
        <w:t>:</w:t>
      </w:r>
      <w:r>
        <w:rPr>
          <w:rFonts w:hint="eastAsia"/>
          <w:b/>
          <w:sz w:val="21"/>
          <w:szCs w:val="21"/>
          <w:highlight w:val="none"/>
          <w:u w:val="single"/>
          <w:lang w:val="en-US" w:eastAsia="zh-CN"/>
        </w:rPr>
        <w:t xml:space="preserve"> TDD pattern </w:t>
      </w:r>
      <w:r>
        <w:rPr>
          <w:b/>
          <w:sz w:val="21"/>
          <w:szCs w:val="21"/>
          <w:highlight w:val="none"/>
          <w:u w:val="single"/>
          <w:lang w:val="en-US" w:eastAsia="zh-CN"/>
        </w:rPr>
        <w:t>‘</w:t>
      </w:r>
      <w:r>
        <w:rPr>
          <w:rFonts w:hint="eastAsia"/>
          <w:b/>
          <w:sz w:val="21"/>
          <w:szCs w:val="21"/>
          <w:highlight w:val="none"/>
          <w:u w:val="single"/>
          <w:lang w:val="en-US" w:eastAsia="zh-CN"/>
        </w:rPr>
        <w:t>30D4S6U</w:t>
      </w:r>
      <w:r>
        <w:rPr>
          <w:b/>
          <w:sz w:val="21"/>
          <w:szCs w:val="21"/>
          <w:highlight w:val="none"/>
          <w:u w:val="single"/>
          <w:lang w:val="en-US" w:eastAsia="zh-CN"/>
        </w:rPr>
        <w:t>’</w:t>
      </w:r>
    </w:p>
    <w:p>
      <w:pPr>
        <w:spacing w:after="120"/>
        <w:rPr>
          <w:rFonts w:hint="eastAsia"/>
          <w:sz w:val="21"/>
          <w:szCs w:val="21"/>
          <w:highlight w:val="none"/>
          <w:lang w:val="en-US" w:eastAsia="zh-CN"/>
        </w:rPr>
      </w:pPr>
      <w:r>
        <w:rPr>
          <w:rFonts w:hint="eastAsia"/>
          <w:sz w:val="21"/>
          <w:szCs w:val="21"/>
          <w:highlight w:val="none"/>
          <w:lang w:val="en-US" w:eastAsia="zh-CN"/>
        </w:rPr>
        <w:t>Agreement:</w:t>
      </w:r>
    </w:p>
    <w:p>
      <w:pPr>
        <w:numPr>
          <w:ilvl w:val="2"/>
          <w:numId w:val="4"/>
        </w:numPr>
        <w:autoSpaceDN w:val="0"/>
        <w:spacing w:after="120"/>
        <w:ind w:left="1860"/>
        <w:rPr>
          <w:rFonts w:hint="eastAsia"/>
          <w:sz w:val="21"/>
          <w:szCs w:val="21"/>
          <w:highlight w:val="none"/>
          <w:lang w:val="en-US" w:eastAsia="zh-CN"/>
        </w:rPr>
      </w:pPr>
      <w:r>
        <w:rPr>
          <w:rFonts w:hint="eastAsia"/>
          <w:sz w:val="21"/>
          <w:szCs w:val="21"/>
          <w:highlight w:val="none"/>
          <w:lang w:val="en-US" w:eastAsia="zh-CN"/>
        </w:rPr>
        <w:t>Do not introduce the new TDD pattern ‘30D4S6U’ in ATG test cases.</w:t>
      </w:r>
    </w:p>
    <w:p>
      <w:pPr>
        <w:rPr>
          <w:rFonts w:hint="eastAsia" w:eastAsia="宋体"/>
          <w:b/>
          <w:sz w:val="21"/>
          <w:szCs w:val="21"/>
          <w:highlight w:val="none"/>
          <w:u w:val="single"/>
          <w:lang w:val="en-US" w:eastAsia="zh-CN"/>
        </w:rPr>
      </w:pPr>
      <w:r>
        <w:rPr>
          <w:rFonts w:hint="eastAsia" w:eastAsia="宋体"/>
          <w:b/>
          <w:sz w:val="21"/>
          <w:szCs w:val="21"/>
          <w:highlight w:val="none"/>
          <w:u w:val="single"/>
          <w:lang w:val="en-US" w:eastAsia="zh-CN"/>
        </w:rPr>
        <w:t>Issue 2-10: Test case list</w:t>
      </w:r>
    </w:p>
    <w:p>
      <w:pPr>
        <w:rPr>
          <w:rFonts w:eastAsia="等线"/>
          <w:sz w:val="21"/>
          <w:szCs w:val="21"/>
          <w:highlight w:val="none"/>
          <w:lang w:val="en-US" w:eastAsia="zh-CN"/>
        </w:rPr>
      </w:pPr>
      <w:r>
        <w:rPr>
          <w:rFonts w:hint="eastAsia" w:eastAsia="等线"/>
          <w:sz w:val="21"/>
          <w:szCs w:val="21"/>
          <w:highlight w:val="none"/>
          <w:lang w:val="en-US" w:eastAsia="zh-CN"/>
        </w:rPr>
        <w:t>A</w:t>
      </w:r>
      <w:r>
        <w:rPr>
          <w:rFonts w:eastAsia="等线"/>
          <w:sz w:val="21"/>
          <w:szCs w:val="21"/>
          <w:highlight w:val="none"/>
          <w:lang w:val="en-US" w:eastAsia="zh-CN"/>
        </w:rPr>
        <w:t>greement:</w:t>
      </w:r>
    </w:p>
    <w:p>
      <w:pPr>
        <w:numPr>
          <w:ilvl w:val="1"/>
          <w:numId w:val="4"/>
        </w:numPr>
        <w:autoSpaceDN w:val="0"/>
        <w:spacing w:after="120"/>
        <w:ind w:left="1276" w:hanging="283"/>
        <w:rPr>
          <w:sz w:val="21"/>
          <w:szCs w:val="21"/>
          <w:highlight w:val="none"/>
          <w:lang w:val="en-US" w:eastAsia="zh-CN"/>
        </w:rPr>
      </w:pPr>
      <w:r>
        <w:rPr>
          <w:sz w:val="21"/>
          <w:szCs w:val="21"/>
          <w:highlight w:val="none"/>
          <w:lang w:val="en-US" w:eastAsia="zh-CN"/>
        </w:rPr>
        <w:t>Define one test case (ATG test 5-5) for DRX. Define all other test cases in non-DRX mode in CONNECTED mode.</w:t>
      </w:r>
    </w:p>
    <w:p>
      <w:pPr>
        <w:numPr>
          <w:ilvl w:val="1"/>
          <w:numId w:val="4"/>
        </w:numPr>
        <w:autoSpaceDN w:val="0"/>
        <w:spacing w:after="120"/>
        <w:ind w:left="1276" w:hanging="283"/>
        <w:rPr>
          <w:sz w:val="21"/>
          <w:szCs w:val="21"/>
          <w:highlight w:val="none"/>
          <w:lang w:val="en-US" w:eastAsia="en-US"/>
        </w:rPr>
      </w:pPr>
      <w:r>
        <w:rPr>
          <w:sz w:val="21"/>
          <w:szCs w:val="21"/>
          <w:highlight w:val="none"/>
          <w:lang w:val="en-US" w:eastAsia="zh-CN"/>
        </w:rPr>
        <w:t>The location based cell re-selection test cases should be removed.</w:t>
      </w:r>
    </w:p>
    <w:p>
      <w:pPr>
        <w:numPr>
          <w:ilvl w:val="1"/>
          <w:numId w:val="4"/>
        </w:numPr>
        <w:autoSpaceDN w:val="0"/>
        <w:spacing w:after="120"/>
        <w:ind w:left="1276" w:hanging="283"/>
        <w:rPr>
          <w:sz w:val="21"/>
          <w:szCs w:val="21"/>
          <w:highlight w:val="none"/>
          <w:lang w:val="en-US" w:eastAsia="zh-CN"/>
        </w:rPr>
      </w:pPr>
      <w:r>
        <w:rPr>
          <w:sz w:val="21"/>
          <w:szCs w:val="21"/>
          <w:highlight w:val="none"/>
          <w:lang w:val="en-US" w:eastAsia="zh-CN"/>
        </w:rPr>
        <w:t>For ATG UE, no need to design the inter-frequency cell re-selection test which neighbour cell configured with high priority frequency.</w:t>
      </w:r>
    </w:p>
    <w:p>
      <w:pPr>
        <w:numPr>
          <w:ilvl w:val="1"/>
          <w:numId w:val="4"/>
        </w:numPr>
        <w:autoSpaceDN w:val="0"/>
        <w:spacing w:after="120"/>
        <w:ind w:left="1276" w:hanging="283"/>
        <w:rPr>
          <w:sz w:val="21"/>
          <w:szCs w:val="21"/>
          <w:highlight w:val="none"/>
          <w:lang w:val="en-US" w:eastAsia="en-US"/>
        </w:rPr>
      </w:pPr>
      <w:r>
        <w:rPr>
          <w:sz w:val="21"/>
          <w:szCs w:val="21"/>
          <w:highlight w:val="none"/>
          <w:lang w:val="en-US" w:eastAsia="zh-CN"/>
        </w:rPr>
        <w:t>For inter-frequency handover, only consider the unknown case.</w:t>
      </w:r>
    </w:p>
    <w:p>
      <w:pPr>
        <w:numPr>
          <w:ilvl w:val="1"/>
          <w:numId w:val="4"/>
        </w:numPr>
        <w:autoSpaceDN w:val="0"/>
        <w:spacing w:after="120"/>
        <w:ind w:left="1276" w:hanging="283"/>
        <w:rPr>
          <w:sz w:val="21"/>
          <w:szCs w:val="21"/>
          <w:highlight w:val="none"/>
          <w:lang w:val="en-US" w:eastAsia="en-US"/>
        </w:rPr>
      </w:pPr>
      <w:r>
        <w:rPr>
          <w:sz w:val="21"/>
          <w:szCs w:val="21"/>
          <w:highlight w:val="none"/>
          <w:lang w:val="en-US" w:eastAsia="zh-CN"/>
        </w:rPr>
        <w:t>For intra-frequency handover, only consider the known case.</w:t>
      </w:r>
    </w:p>
    <w:p>
      <w:pPr>
        <w:numPr>
          <w:ilvl w:val="1"/>
          <w:numId w:val="4"/>
        </w:numPr>
        <w:autoSpaceDN w:val="0"/>
        <w:spacing w:after="120"/>
        <w:ind w:left="1276" w:hanging="283"/>
        <w:rPr>
          <w:sz w:val="21"/>
          <w:szCs w:val="21"/>
          <w:highlight w:val="none"/>
          <w:lang w:val="en-US" w:eastAsia="zh-CN"/>
        </w:rPr>
      </w:pPr>
      <w:r>
        <w:rPr>
          <w:sz w:val="21"/>
          <w:szCs w:val="21"/>
          <w:highlight w:val="none"/>
          <w:lang w:val="en-US" w:eastAsia="zh-CN"/>
        </w:rPr>
        <w:t>Intra-frequency RRC Re-establishment with known target cell</w:t>
      </w:r>
    </w:p>
    <w:p>
      <w:pPr>
        <w:numPr>
          <w:ilvl w:val="1"/>
          <w:numId w:val="4"/>
        </w:numPr>
        <w:autoSpaceDN w:val="0"/>
        <w:spacing w:after="120"/>
        <w:ind w:left="1276" w:hanging="283"/>
        <w:rPr>
          <w:sz w:val="21"/>
          <w:szCs w:val="21"/>
          <w:highlight w:val="none"/>
          <w:lang w:val="en-US" w:eastAsia="zh-CN"/>
        </w:rPr>
      </w:pPr>
      <w:r>
        <w:rPr>
          <w:sz w:val="21"/>
          <w:szCs w:val="21"/>
          <w:highlight w:val="none"/>
          <w:lang w:val="en-US" w:eastAsia="zh-CN"/>
        </w:rPr>
        <w:t>Inter-frequency RRC Re-establishment with unknown target cell without [serving] cell timing.</w:t>
      </w:r>
    </w:p>
    <w:p>
      <w:pPr>
        <w:numPr>
          <w:ilvl w:val="0"/>
          <w:numId w:val="4"/>
        </w:numPr>
        <w:autoSpaceDN w:val="0"/>
        <w:spacing w:after="120"/>
        <w:ind w:left="856" w:leftChars="0" w:hanging="283"/>
        <w:rPr>
          <w:sz w:val="21"/>
          <w:szCs w:val="21"/>
          <w:highlight w:val="none"/>
          <w:lang w:val="en-US" w:eastAsia="zh-CN"/>
        </w:rPr>
      </w:pPr>
      <w:r>
        <w:rPr>
          <w:rFonts w:hint="eastAsia"/>
          <w:sz w:val="21"/>
          <w:szCs w:val="21"/>
          <w:highlight w:val="none"/>
          <w:lang w:val="en-US" w:eastAsia="zh-CN"/>
        </w:rPr>
        <w:t>The updated test case list:</w:t>
      </w:r>
    </w:p>
    <w:tbl>
      <w:tblPr>
        <w:tblStyle w:val="20"/>
        <w:tblW w:w="9860" w:type="dxa"/>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0"/>
        <w:gridCol w:w="1320"/>
        <w:gridCol w:w="1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4" w:hRule="atLeast"/>
        </w:trPr>
        <w:tc>
          <w:tcPr>
            <w:tcW w:w="7220" w:type="dxa"/>
          </w:tcPr>
          <w:p>
            <w:pPr>
              <w:jc w:val="center"/>
              <w:rPr>
                <w:rFonts w:eastAsia="Yu Mincho"/>
                <w:b/>
                <w:bCs/>
                <w:sz w:val="18"/>
                <w:szCs w:val="18"/>
                <w:highlight w:val="none"/>
              </w:rPr>
            </w:pPr>
            <w:r>
              <w:rPr>
                <w:rFonts w:hint="eastAsia" w:eastAsia="Yu Mincho"/>
                <w:b/>
                <w:bCs/>
                <w:sz w:val="18"/>
                <w:szCs w:val="18"/>
                <w:highlight w:val="none"/>
              </w:rPr>
              <w:t>Test scope</w:t>
            </w:r>
          </w:p>
          <w:p>
            <w:pPr>
              <w:jc w:val="center"/>
              <w:rPr>
                <w:rFonts w:eastAsia="Yu Mincho"/>
                <w:b/>
                <w:bCs/>
                <w:sz w:val="18"/>
                <w:szCs w:val="18"/>
                <w:highlight w:val="none"/>
              </w:rPr>
            </w:pPr>
            <w:r>
              <w:rPr>
                <w:rFonts w:hint="eastAsia" w:eastAsia="Yu Mincho"/>
                <w:b/>
                <w:bCs/>
                <w:sz w:val="18"/>
                <w:szCs w:val="18"/>
                <w:highlight w:val="none"/>
              </w:rPr>
              <w:t>RRC_IDLE state mobility</w:t>
            </w:r>
          </w:p>
        </w:tc>
        <w:tc>
          <w:tcPr>
            <w:tcW w:w="1320" w:type="dxa"/>
          </w:tcPr>
          <w:p>
            <w:pPr>
              <w:jc w:val="center"/>
              <w:rPr>
                <w:rFonts w:eastAsia="Yu Mincho"/>
                <w:b/>
                <w:bCs/>
                <w:sz w:val="18"/>
                <w:szCs w:val="18"/>
                <w:highlight w:val="none"/>
              </w:rPr>
            </w:pPr>
            <w:r>
              <w:rPr>
                <w:rFonts w:hint="eastAsia" w:eastAsia="Yu Mincho"/>
                <w:b/>
                <w:bCs/>
                <w:sz w:val="18"/>
                <w:szCs w:val="18"/>
                <w:highlight w:val="none"/>
              </w:rPr>
              <w:t>Test number</w:t>
            </w:r>
          </w:p>
        </w:tc>
        <w:tc>
          <w:tcPr>
            <w:tcW w:w="1320" w:type="dxa"/>
          </w:tcPr>
          <w:p>
            <w:pPr>
              <w:jc w:val="center"/>
              <w:rPr>
                <w:rFonts w:eastAsia="宋体"/>
                <w:b/>
                <w:bCs/>
                <w:sz w:val="18"/>
                <w:szCs w:val="18"/>
                <w:highlight w:val="none"/>
              </w:rPr>
            </w:pPr>
            <w:r>
              <w:rPr>
                <w:rFonts w:hint="eastAsia" w:eastAsia="宋体"/>
                <w:b/>
                <w:bCs/>
                <w:sz w:val="18"/>
                <w:szCs w:val="18"/>
                <w:highlight w:val="none"/>
              </w:rPr>
              <w:t>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7220" w:type="dxa"/>
            <w:vAlign w:val="center"/>
          </w:tcPr>
          <w:p>
            <w:pPr>
              <w:rPr>
                <w:rFonts w:eastAsia="Yu Mincho"/>
                <w:sz w:val="18"/>
                <w:szCs w:val="18"/>
                <w:highlight w:val="none"/>
              </w:rPr>
            </w:pPr>
            <w:r>
              <w:rPr>
                <w:rFonts w:hint="eastAsia" w:eastAsia="Yu Mincho"/>
                <w:sz w:val="18"/>
                <w:szCs w:val="18"/>
                <w:highlight w:val="none"/>
              </w:rPr>
              <w:t>Cell reselection to intra-frequency neighbour cell</w:t>
            </w:r>
          </w:p>
        </w:tc>
        <w:tc>
          <w:tcPr>
            <w:tcW w:w="1320" w:type="dxa"/>
            <w:vAlign w:val="center"/>
          </w:tcPr>
          <w:p>
            <w:pPr>
              <w:rPr>
                <w:rFonts w:eastAsia="Yu Mincho"/>
                <w:sz w:val="18"/>
                <w:szCs w:val="18"/>
                <w:highlight w:val="none"/>
              </w:rPr>
            </w:pPr>
            <w:r>
              <w:rPr>
                <w:rFonts w:hint="eastAsia" w:eastAsia="Yu Mincho"/>
                <w:sz w:val="18"/>
                <w:szCs w:val="18"/>
                <w:highlight w:val="none"/>
              </w:rPr>
              <w:t>ATG 1-1</w:t>
            </w:r>
          </w:p>
        </w:tc>
        <w:tc>
          <w:tcPr>
            <w:tcW w:w="1320" w:type="dxa"/>
            <w:vMerge w:val="restart"/>
            <w:vAlign w:val="center"/>
          </w:tcPr>
          <w:p>
            <w:pPr>
              <w:rPr>
                <w:rFonts w:eastAsia="宋体"/>
                <w:sz w:val="18"/>
                <w:szCs w:val="18"/>
                <w:highlight w:val="none"/>
              </w:rPr>
            </w:pPr>
            <w:r>
              <w:rPr>
                <w:rFonts w:hint="eastAsia" w:eastAsia="宋体"/>
                <w:sz w:val="18"/>
                <w:szCs w:val="18"/>
                <w:highlight w:val="none"/>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0" w:type="dxa"/>
            <w:vAlign w:val="center"/>
          </w:tcPr>
          <w:p>
            <w:pPr>
              <w:rPr>
                <w:rFonts w:eastAsia="Yu Mincho"/>
                <w:sz w:val="18"/>
                <w:szCs w:val="18"/>
                <w:highlight w:val="none"/>
              </w:rPr>
            </w:pPr>
            <w:r>
              <w:rPr>
                <w:rFonts w:hint="eastAsia" w:eastAsia="Yu Mincho"/>
                <w:sz w:val="18"/>
                <w:szCs w:val="18"/>
                <w:highlight w:val="none"/>
              </w:rPr>
              <w:t>Cell reselection to inter-frequency neighbour cell</w:t>
            </w:r>
          </w:p>
        </w:tc>
        <w:tc>
          <w:tcPr>
            <w:tcW w:w="1320" w:type="dxa"/>
            <w:vAlign w:val="center"/>
          </w:tcPr>
          <w:p>
            <w:pPr>
              <w:rPr>
                <w:rFonts w:eastAsia="Yu Mincho"/>
                <w:sz w:val="18"/>
                <w:szCs w:val="18"/>
                <w:highlight w:val="none"/>
              </w:rPr>
            </w:pPr>
            <w:r>
              <w:rPr>
                <w:rFonts w:hint="eastAsia" w:eastAsia="Yu Mincho"/>
                <w:sz w:val="18"/>
                <w:szCs w:val="18"/>
                <w:highlight w:val="none"/>
              </w:rPr>
              <w:t>ATG 1-3</w:t>
            </w:r>
          </w:p>
        </w:tc>
        <w:tc>
          <w:tcPr>
            <w:tcW w:w="132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0" w:type="dxa"/>
            <w:vAlign w:val="center"/>
          </w:tcPr>
          <w:p>
            <w:pPr>
              <w:rPr>
                <w:rFonts w:eastAsia="Yu Mincho"/>
                <w:sz w:val="18"/>
                <w:szCs w:val="18"/>
                <w:highlight w:val="none"/>
              </w:rPr>
            </w:pPr>
            <w:r>
              <w:rPr>
                <w:rFonts w:hint="eastAsia" w:eastAsia="Yu Mincho"/>
                <w:sz w:val="18"/>
                <w:szCs w:val="18"/>
                <w:highlight w:val="none"/>
              </w:rPr>
              <w:t>Cell reselection to inter-frequency NR cell for UE configured with [enhanced requirements]</w:t>
            </w:r>
          </w:p>
        </w:tc>
        <w:tc>
          <w:tcPr>
            <w:tcW w:w="1320" w:type="dxa"/>
            <w:vAlign w:val="center"/>
          </w:tcPr>
          <w:p>
            <w:pPr>
              <w:rPr>
                <w:rFonts w:eastAsia="Yu Mincho"/>
                <w:sz w:val="18"/>
                <w:szCs w:val="18"/>
                <w:highlight w:val="none"/>
              </w:rPr>
            </w:pPr>
            <w:r>
              <w:rPr>
                <w:rFonts w:hint="eastAsia" w:eastAsia="Yu Mincho"/>
                <w:sz w:val="18"/>
                <w:szCs w:val="18"/>
                <w:highlight w:val="none"/>
              </w:rPr>
              <w:t>ATG 1-4</w:t>
            </w:r>
          </w:p>
        </w:tc>
        <w:tc>
          <w:tcPr>
            <w:tcW w:w="1320" w:type="dxa"/>
            <w:vMerge w:val="continue"/>
            <w:vAlign w:val="center"/>
          </w:tcPr>
          <w:p>
            <w:pPr>
              <w:rPr>
                <w:rFonts w:eastAsia="Yu Mincho"/>
                <w:sz w:val="18"/>
                <w:szCs w:val="18"/>
                <w:highlight w:val="none"/>
              </w:rPr>
            </w:pPr>
          </w:p>
        </w:tc>
      </w:tr>
    </w:tbl>
    <w:p>
      <w:pPr>
        <w:pStyle w:val="74"/>
        <w:spacing w:after="120"/>
        <w:ind w:firstLine="0" w:firstLineChars="0"/>
        <w:rPr>
          <w:rFonts w:eastAsia="宋体"/>
          <w:highlight w:val="none"/>
        </w:rPr>
      </w:pPr>
    </w:p>
    <w:tbl>
      <w:tblPr>
        <w:tblStyle w:val="20"/>
        <w:tblW w:w="9850" w:type="dxa"/>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0"/>
        <w:gridCol w:w="1310"/>
        <w:gridCol w:w="1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9" w:hRule="atLeast"/>
        </w:trPr>
        <w:tc>
          <w:tcPr>
            <w:tcW w:w="7230" w:type="dxa"/>
          </w:tcPr>
          <w:p>
            <w:pPr>
              <w:jc w:val="center"/>
              <w:rPr>
                <w:rFonts w:eastAsia="Yu Mincho"/>
                <w:b/>
                <w:bCs/>
                <w:sz w:val="18"/>
                <w:szCs w:val="18"/>
                <w:highlight w:val="none"/>
              </w:rPr>
            </w:pPr>
            <w:r>
              <w:rPr>
                <w:rFonts w:hint="eastAsia" w:eastAsia="Yu Mincho"/>
                <w:b/>
                <w:bCs/>
                <w:sz w:val="18"/>
                <w:szCs w:val="18"/>
                <w:highlight w:val="none"/>
              </w:rPr>
              <w:t>Test scope</w:t>
            </w:r>
          </w:p>
          <w:p>
            <w:pPr>
              <w:jc w:val="center"/>
              <w:rPr>
                <w:rFonts w:eastAsia="Yu Mincho"/>
                <w:b/>
                <w:bCs/>
                <w:highlight w:val="none"/>
              </w:rPr>
            </w:pPr>
            <w:r>
              <w:rPr>
                <w:rFonts w:hint="eastAsia" w:eastAsia="Yu Mincho"/>
                <w:b/>
                <w:bCs/>
                <w:sz w:val="18"/>
                <w:szCs w:val="18"/>
                <w:highlight w:val="none"/>
              </w:rPr>
              <w:t>RRC_CONNECTED state mobility</w:t>
            </w:r>
          </w:p>
        </w:tc>
        <w:tc>
          <w:tcPr>
            <w:tcW w:w="1310" w:type="dxa"/>
          </w:tcPr>
          <w:p>
            <w:pPr>
              <w:jc w:val="center"/>
              <w:rPr>
                <w:rFonts w:eastAsia="Yu Mincho"/>
                <w:b/>
                <w:bCs/>
                <w:highlight w:val="none"/>
              </w:rPr>
            </w:pPr>
            <w:r>
              <w:rPr>
                <w:rFonts w:hint="eastAsia" w:eastAsia="Yu Mincho"/>
                <w:b/>
                <w:bCs/>
                <w:sz w:val="18"/>
                <w:szCs w:val="18"/>
                <w:highlight w:val="none"/>
              </w:rPr>
              <w:t>Test number</w:t>
            </w:r>
          </w:p>
        </w:tc>
        <w:tc>
          <w:tcPr>
            <w:tcW w:w="1310" w:type="dxa"/>
          </w:tcPr>
          <w:p>
            <w:pPr>
              <w:jc w:val="center"/>
              <w:rPr>
                <w:rFonts w:eastAsia="Yu Mincho"/>
                <w:b/>
                <w:bCs/>
                <w:sz w:val="18"/>
                <w:szCs w:val="18"/>
                <w:highlight w:val="none"/>
              </w:rPr>
            </w:pPr>
            <w:r>
              <w:rPr>
                <w:rFonts w:hint="eastAsia" w:eastAsia="宋体"/>
                <w:b/>
                <w:bCs/>
                <w:sz w:val="18"/>
                <w:szCs w:val="18"/>
                <w:highlight w:val="none"/>
              </w:rPr>
              <w:t>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rPr>
                <w:rFonts w:eastAsia="Yu Mincho"/>
                <w:sz w:val="18"/>
                <w:szCs w:val="18"/>
                <w:highlight w:val="none"/>
              </w:rPr>
            </w:pPr>
            <w:r>
              <w:rPr>
                <w:rFonts w:hint="eastAsia" w:eastAsia="Yu Mincho"/>
                <w:sz w:val="18"/>
                <w:szCs w:val="18"/>
                <w:highlight w:val="none"/>
              </w:rPr>
              <w:t>Intra-frequency HO with known target cell</w:t>
            </w:r>
          </w:p>
        </w:tc>
        <w:tc>
          <w:tcPr>
            <w:tcW w:w="1310" w:type="dxa"/>
            <w:vAlign w:val="center"/>
          </w:tcPr>
          <w:p>
            <w:pPr>
              <w:rPr>
                <w:rFonts w:eastAsia="Yu Mincho"/>
                <w:sz w:val="18"/>
                <w:szCs w:val="18"/>
                <w:highlight w:val="none"/>
              </w:rPr>
            </w:pPr>
            <w:r>
              <w:rPr>
                <w:rFonts w:hint="eastAsia" w:eastAsia="Yu Mincho"/>
                <w:sz w:val="18"/>
                <w:szCs w:val="18"/>
                <w:highlight w:val="none"/>
              </w:rPr>
              <w:t>ATG 2-1</w:t>
            </w:r>
          </w:p>
        </w:tc>
        <w:tc>
          <w:tcPr>
            <w:tcW w:w="1310" w:type="dxa"/>
            <w:vMerge w:val="restart"/>
            <w:vAlign w:val="center"/>
          </w:tcPr>
          <w:p>
            <w:pPr>
              <w:rPr>
                <w:rFonts w:eastAsia="宋体"/>
                <w:sz w:val="18"/>
                <w:szCs w:val="18"/>
                <w:highlight w:val="none"/>
              </w:rPr>
            </w:pPr>
            <w:r>
              <w:rPr>
                <w:rFonts w:hint="eastAsia" w:eastAsia="宋体"/>
                <w:sz w:val="18"/>
                <w:szCs w:val="18"/>
                <w:highlight w:val="none"/>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rPr>
                <w:rFonts w:eastAsia="Yu Mincho"/>
                <w:sz w:val="18"/>
                <w:szCs w:val="18"/>
                <w:highlight w:val="none"/>
              </w:rPr>
            </w:pPr>
            <w:r>
              <w:rPr>
                <w:rFonts w:hint="eastAsia" w:eastAsia="Yu Mincho"/>
                <w:sz w:val="18"/>
                <w:szCs w:val="18"/>
                <w:highlight w:val="none"/>
              </w:rPr>
              <w:t>Inter-frequency HO with unknown target cell</w:t>
            </w:r>
          </w:p>
        </w:tc>
        <w:tc>
          <w:tcPr>
            <w:tcW w:w="1310" w:type="dxa"/>
            <w:vAlign w:val="center"/>
          </w:tcPr>
          <w:p>
            <w:pPr>
              <w:rPr>
                <w:rFonts w:eastAsia="Yu Mincho"/>
                <w:sz w:val="18"/>
                <w:szCs w:val="18"/>
                <w:highlight w:val="none"/>
              </w:rPr>
            </w:pPr>
            <w:r>
              <w:rPr>
                <w:rFonts w:hint="eastAsia" w:eastAsia="Yu Mincho"/>
                <w:sz w:val="18"/>
                <w:szCs w:val="18"/>
                <w:highlight w:val="none"/>
              </w:rPr>
              <w:t>ATG 2-4</w:t>
            </w:r>
          </w:p>
        </w:tc>
        <w:tc>
          <w:tcPr>
            <w:tcW w:w="131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rPr>
                <w:rFonts w:eastAsia="Yu Mincho"/>
                <w:sz w:val="18"/>
                <w:szCs w:val="18"/>
                <w:highlight w:val="none"/>
              </w:rPr>
            </w:pPr>
            <w:r>
              <w:rPr>
                <w:rFonts w:hint="eastAsia" w:eastAsia="Yu Mincho"/>
                <w:sz w:val="18"/>
                <w:szCs w:val="18"/>
                <w:highlight w:val="none"/>
              </w:rPr>
              <w:t xml:space="preserve">Intra-frequency location based CHO </w:t>
            </w:r>
          </w:p>
        </w:tc>
        <w:tc>
          <w:tcPr>
            <w:tcW w:w="1310" w:type="dxa"/>
            <w:vAlign w:val="center"/>
          </w:tcPr>
          <w:p>
            <w:pPr>
              <w:rPr>
                <w:rFonts w:eastAsia="Yu Mincho"/>
                <w:sz w:val="18"/>
                <w:szCs w:val="18"/>
                <w:highlight w:val="none"/>
              </w:rPr>
            </w:pPr>
            <w:r>
              <w:rPr>
                <w:rFonts w:hint="eastAsia" w:eastAsia="Yu Mincho"/>
                <w:sz w:val="18"/>
                <w:szCs w:val="18"/>
                <w:highlight w:val="none"/>
              </w:rPr>
              <w:t>ATG 2-5</w:t>
            </w:r>
          </w:p>
        </w:tc>
        <w:tc>
          <w:tcPr>
            <w:tcW w:w="131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rPr>
                <w:rFonts w:eastAsia="Yu Mincho"/>
                <w:sz w:val="18"/>
                <w:szCs w:val="18"/>
                <w:highlight w:val="none"/>
              </w:rPr>
            </w:pPr>
            <w:r>
              <w:rPr>
                <w:rFonts w:hint="eastAsia" w:eastAsia="Yu Mincho"/>
                <w:sz w:val="18"/>
                <w:szCs w:val="18"/>
                <w:highlight w:val="none"/>
              </w:rPr>
              <w:t xml:space="preserve">Inter-frequency location based CHO </w:t>
            </w:r>
          </w:p>
        </w:tc>
        <w:tc>
          <w:tcPr>
            <w:tcW w:w="1310" w:type="dxa"/>
            <w:vAlign w:val="center"/>
          </w:tcPr>
          <w:p>
            <w:pPr>
              <w:rPr>
                <w:rFonts w:eastAsia="Yu Mincho"/>
                <w:sz w:val="18"/>
                <w:szCs w:val="18"/>
                <w:highlight w:val="none"/>
              </w:rPr>
            </w:pPr>
            <w:r>
              <w:rPr>
                <w:rFonts w:hint="eastAsia" w:eastAsia="Yu Mincho"/>
                <w:sz w:val="18"/>
                <w:szCs w:val="18"/>
                <w:highlight w:val="none"/>
              </w:rPr>
              <w:t>ATG 2-6</w:t>
            </w:r>
          </w:p>
        </w:tc>
        <w:tc>
          <w:tcPr>
            <w:tcW w:w="131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rPr>
                <w:rFonts w:eastAsia="Yu Mincho"/>
                <w:sz w:val="18"/>
                <w:szCs w:val="18"/>
                <w:highlight w:val="none"/>
              </w:rPr>
            </w:pPr>
            <w:r>
              <w:rPr>
                <w:rFonts w:hint="eastAsia" w:eastAsia="Yu Mincho"/>
                <w:sz w:val="18"/>
                <w:szCs w:val="18"/>
                <w:highlight w:val="none"/>
              </w:rPr>
              <w:t>Intra-frequency RRC Re-establishment with known target cell</w:t>
            </w:r>
          </w:p>
        </w:tc>
        <w:tc>
          <w:tcPr>
            <w:tcW w:w="1310" w:type="dxa"/>
            <w:vAlign w:val="center"/>
          </w:tcPr>
          <w:p>
            <w:pPr>
              <w:rPr>
                <w:rFonts w:eastAsia="Yu Mincho"/>
                <w:sz w:val="18"/>
                <w:szCs w:val="18"/>
                <w:highlight w:val="none"/>
              </w:rPr>
            </w:pPr>
            <w:r>
              <w:rPr>
                <w:rFonts w:hint="eastAsia" w:eastAsia="Yu Mincho"/>
                <w:sz w:val="18"/>
                <w:szCs w:val="18"/>
                <w:highlight w:val="none"/>
              </w:rPr>
              <w:t>ATG 2-7</w:t>
            </w:r>
          </w:p>
        </w:tc>
        <w:tc>
          <w:tcPr>
            <w:tcW w:w="1310" w:type="dxa"/>
            <w:vMerge w:val="restart"/>
            <w:vAlign w:val="center"/>
          </w:tcPr>
          <w:p>
            <w:pPr>
              <w:rPr>
                <w:rFonts w:eastAsia="宋体"/>
                <w:sz w:val="18"/>
                <w:szCs w:val="18"/>
                <w:highlight w:val="none"/>
              </w:rPr>
            </w:pPr>
            <w:r>
              <w:rPr>
                <w:rFonts w:eastAsia="宋体"/>
                <w:sz w:val="18"/>
                <w:szCs w:val="18"/>
                <w:highlight w:val="none"/>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rPr>
                <w:rFonts w:hint="default" w:eastAsia="宋体"/>
                <w:sz w:val="18"/>
                <w:szCs w:val="18"/>
                <w:highlight w:val="none"/>
                <w:lang w:val="en-US" w:eastAsia="zh-CN"/>
              </w:rPr>
            </w:pPr>
            <w:r>
              <w:rPr>
                <w:rFonts w:hint="eastAsia" w:eastAsia="Yu Mincho"/>
                <w:sz w:val="18"/>
                <w:szCs w:val="18"/>
                <w:highlight w:val="none"/>
              </w:rPr>
              <w:t>Inter-frequency RRC Re-establishment with unknown target cell</w:t>
            </w:r>
            <w:r>
              <w:rPr>
                <w:rFonts w:hint="eastAsia" w:eastAsia="宋体"/>
                <w:sz w:val="18"/>
                <w:szCs w:val="18"/>
                <w:highlight w:val="none"/>
                <w:lang w:val="en-US" w:eastAsia="zh-CN"/>
              </w:rPr>
              <w:t xml:space="preserve"> without serving cell timing</w:t>
            </w:r>
          </w:p>
        </w:tc>
        <w:tc>
          <w:tcPr>
            <w:tcW w:w="1310" w:type="dxa"/>
            <w:vAlign w:val="center"/>
          </w:tcPr>
          <w:p>
            <w:pPr>
              <w:rPr>
                <w:rFonts w:eastAsia="Yu Mincho"/>
                <w:sz w:val="18"/>
                <w:szCs w:val="18"/>
                <w:highlight w:val="none"/>
              </w:rPr>
            </w:pPr>
            <w:r>
              <w:rPr>
                <w:rFonts w:hint="eastAsia" w:eastAsia="Yu Mincho"/>
                <w:sz w:val="18"/>
                <w:szCs w:val="18"/>
                <w:highlight w:val="none"/>
              </w:rPr>
              <w:t>ATG 2-10</w:t>
            </w:r>
          </w:p>
        </w:tc>
        <w:tc>
          <w:tcPr>
            <w:tcW w:w="131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rPr>
                <w:rFonts w:eastAsia="Yu Mincho"/>
                <w:sz w:val="18"/>
                <w:szCs w:val="18"/>
                <w:highlight w:val="none"/>
              </w:rPr>
            </w:pPr>
            <w:r>
              <w:rPr>
                <w:rFonts w:hint="eastAsia" w:eastAsia="Yu Mincho"/>
                <w:sz w:val="18"/>
                <w:szCs w:val="18"/>
                <w:highlight w:val="none"/>
              </w:rPr>
              <w:t>4-step RA type contention based random access test</w:t>
            </w:r>
          </w:p>
        </w:tc>
        <w:tc>
          <w:tcPr>
            <w:tcW w:w="1310" w:type="dxa"/>
            <w:vAlign w:val="center"/>
          </w:tcPr>
          <w:p>
            <w:pPr>
              <w:rPr>
                <w:rFonts w:eastAsia="Yu Mincho"/>
                <w:sz w:val="18"/>
                <w:szCs w:val="18"/>
                <w:highlight w:val="none"/>
              </w:rPr>
            </w:pPr>
            <w:r>
              <w:rPr>
                <w:rFonts w:hint="eastAsia" w:eastAsia="Yu Mincho"/>
                <w:sz w:val="18"/>
                <w:szCs w:val="18"/>
                <w:highlight w:val="none"/>
              </w:rPr>
              <w:t>ATG 2-12</w:t>
            </w:r>
          </w:p>
        </w:tc>
        <w:tc>
          <w:tcPr>
            <w:tcW w:w="1310" w:type="dxa"/>
            <w:vMerge w:val="restart"/>
            <w:vAlign w:val="center"/>
          </w:tcPr>
          <w:p>
            <w:pPr>
              <w:rPr>
                <w:rFonts w:eastAsiaTheme="minorEastAsia"/>
                <w:sz w:val="18"/>
                <w:szCs w:val="18"/>
                <w:highlight w:val="none"/>
              </w:rPr>
            </w:pPr>
            <w:r>
              <w:rPr>
                <w:rFonts w:hint="eastAsia" w:eastAsiaTheme="minorEastAsia"/>
                <w:sz w:val="18"/>
                <w:szCs w:val="18"/>
                <w:highlight w:val="none"/>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rPr>
                <w:rFonts w:eastAsia="Yu Mincho"/>
                <w:sz w:val="18"/>
                <w:szCs w:val="18"/>
                <w:highlight w:val="none"/>
              </w:rPr>
            </w:pPr>
            <w:r>
              <w:rPr>
                <w:rFonts w:hint="eastAsia" w:eastAsia="Yu Mincho"/>
                <w:sz w:val="18"/>
                <w:szCs w:val="18"/>
                <w:highlight w:val="none"/>
              </w:rPr>
              <w:t>4-step RA type Non-Contention based random access test</w:t>
            </w:r>
          </w:p>
        </w:tc>
        <w:tc>
          <w:tcPr>
            <w:tcW w:w="1310" w:type="dxa"/>
            <w:vAlign w:val="center"/>
          </w:tcPr>
          <w:p>
            <w:pPr>
              <w:rPr>
                <w:rFonts w:eastAsia="Yu Mincho"/>
                <w:sz w:val="18"/>
                <w:szCs w:val="18"/>
                <w:highlight w:val="none"/>
              </w:rPr>
            </w:pPr>
            <w:r>
              <w:rPr>
                <w:rFonts w:hint="eastAsia" w:eastAsia="Yu Mincho"/>
                <w:sz w:val="18"/>
                <w:szCs w:val="18"/>
                <w:highlight w:val="none"/>
              </w:rPr>
              <w:t>ATG 2-13</w:t>
            </w:r>
          </w:p>
        </w:tc>
        <w:tc>
          <w:tcPr>
            <w:tcW w:w="131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rPr>
                <w:rFonts w:eastAsia="Yu Mincho"/>
                <w:sz w:val="18"/>
                <w:szCs w:val="18"/>
                <w:highlight w:val="none"/>
              </w:rPr>
            </w:pPr>
            <w:r>
              <w:rPr>
                <w:rFonts w:hint="eastAsia" w:eastAsia="Yu Mincho"/>
                <w:sz w:val="18"/>
                <w:szCs w:val="18"/>
                <w:highlight w:val="none"/>
              </w:rPr>
              <w:t>2-step RA type contention based random access test</w:t>
            </w:r>
          </w:p>
        </w:tc>
        <w:tc>
          <w:tcPr>
            <w:tcW w:w="1310" w:type="dxa"/>
            <w:vAlign w:val="center"/>
          </w:tcPr>
          <w:p>
            <w:pPr>
              <w:rPr>
                <w:rFonts w:eastAsia="Yu Mincho"/>
                <w:sz w:val="18"/>
                <w:szCs w:val="18"/>
                <w:highlight w:val="none"/>
              </w:rPr>
            </w:pPr>
            <w:r>
              <w:rPr>
                <w:rFonts w:hint="eastAsia" w:eastAsia="Yu Mincho"/>
                <w:sz w:val="18"/>
                <w:szCs w:val="18"/>
                <w:highlight w:val="none"/>
              </w:rPr>
              <w:t>ATG 2-14</w:t>
            </w:r>
          </w:p>
        </w:tc>
        <w:tc>
          <w:tcPr>
            <w:tcW w:w="131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rPr>
                <w:rFonts w:eastAsia="Yu Mincho"/>
                <w:sz w:val="18"/>
                <w:szCs w:val="18"/>
                <w:highlight w:val="none"/>
              </w:rPr>
            </w:pPr>
            <w:r>
              <w:rPr>
                <w:rFonts w:hint="eastAsia" w:eastAsia="Yu Mincho"/>
                <w:sz w:val="18"/>
                <w:szCs w:val="18"/>
                <w:highlight w:val="none"/>
              </w:rPr>
              <w:t>2-step RA type Non-Contention based random access test</w:t>
            </w:r>
          </w:p>
        </w:tc>
        <w:tc>
          <w:tcPr>
            <w:tcW w:w="1310" w:type="dxa"/>
            <w:vAlign w:val="center"/>
          </w:tcPr>
          <w:p>
            <w:pPr>
              <w:rPr>
                <w:rFonts w:eastAsia="Yu Mincho"/>
                <w:sz w:val="18"/>
                <w:szCs w:val="18"/>
                <w:highlight w:val="none"/>
              </w:rPr>
            </w:pPr>
            <w:r>
              <w:rPr>
                <w:rFonts w:hint="eastAsia" w:eastAsia="Yu Mincho"/>
                <w:sz w:val="18"/>
                <w:szCs w:val="18"/>
                <w:highlight w:val="none"/>
              </w:rPr>
              <w:t>ATG 2-15</w:t>
            </w:r>
          </w:p>
        </w:tc>
        <w:tc>
          <w:tcPr>
            <w:tcW w:w="131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rPr>
                <w:rFonts w:eastAsia="Yu Mincho"/>
                <w:sz w:val="18"/>
                <w:szCs w:val="18"/>
                <w:highlight w:val="none"/>
              </w:rPr>
            </w:pPr>
            <w:r>
              <w:rPr>
                <w:rFonts w:hint="eastAsia" w:eastAsia="Yu Mincho"/>
                <w:sz w:val="18"/>
                <w:szCs w:val="18"/>
                <w:highlight w:val="none"/>
              </w:rPr>
              <w:t>RRC Connection Release with Redirection</w:t>
            </w:r>
          </w:p>
        </w:tc>
        <w:tc>
          <w:tcPr>
            <w:tcW w:w="1310" w:type="dxa"/>
            <w:vAlign w:val="center"/>
          </w:tcPr>
          <w:p>
            <w:pPr>
              <w:rPr>
                <w:rFonts w:eastAsia="Yu Mincho"/>
                <w:sz w:val="18"/>
                <w:szCs w:val="18"/>
                <w:highlight w:val="none"/>
              </w:rPr>
            </w:pPr>
            <w:r>
              <w:rPr>
                <w:rFonts w:hint="eastAsia" w:eastAsia="Yu Mincho"/>
                <w:sz w:val="18"/>
                <w:szCs w:val="18"/>
                <w:highlight w:val="none"/>
              </w:rPr>
              <w:t>ATG 2-16</w:t>
            </w:r>
          </w:p>
        </w:tc>
        <w:tc>
          <w:tcPr>
            <w:tcW w:w="1310" w:type="dxa"/>
            <w:vMerge w:val="continue"/>
            <w:vAlign w:val="center"/>
          </w:tcPr>
          <w:p>
            <w:pPr>
              <w:rPr>
                <w:rFonts w:eastAsia="Yu Mincho"/>
                <w:sz w:val="18"/>
                <w:szCs w:val="18"/>
                <w:highlight w:val="none"/>
              </w:rPr>
            </w:pPr>
          </w:p>
        </w:tc>
      </w:tr>
    </w:tbl>
    <w:p>
      <w:pPr>
        <w:pStyle w:val="74"/>
        <w:spacing w:after="120"/>
        <w:ind w:firstLine="0" w:firstLineChars="0"/>
        <w:rPr>
          <w:rFonts w:eastAsia="宋体"/>
          <w:highlight w:val="none"/>
        </w:rPr>
      </w:pPr>
    </w:p>
    <w:tbl>
      <w:tblPr>
        <w:tblStyle w:val="20"/>
        <w:tblW w:w="9820" w:type="dxa"/>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0"/>
        <w:gridCol w:w="1300"/>
        <w:gridCol w:w="1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7220" w:type="dxa"/>
          </w:tcPr>
          <w:p>
            <w:pPr>
              <w:jc w:val="center"/>
              <w:rPr>
                <w:rFonts w:eastAsia="Yu Mincho"/>
                <w:b/>
                <w:bCs/>
                <w:sz w:val="18"/>
                <w:szCs w:val="18"/>
                <w:highlight w:val="none"/>
              </w:rPr>
            </w:pPr>
            <w:r>
              <w:rPr>
                <w:rFonts w:hint="eastAsia" w:eastAsia="Yu Mincho"/>
                <w:b/>
                <w:bCs/>
                <w:sz w:val="18"/>
                <w:szCs w:val="18"/>
                <w:highlight w:val="none"/>
              </w:rPr>
              <w:t>Test scope</w:t>
            </w:r>
          </w:p>
          <w:p>
            <w:pPr>
              <w:jc w:val="center"/>
              <w:rPr>
                <w:rFonts w:eastAsia="Yu Mincho"/>
                <w:b/>
                <w:bCs/>
                <w:highlight w:val="none"/>
              </w:rPr>
            </w:pPr>
            <w:r>
              <w:rPr>
                <w:rFonts w:hint="eastAsia" w:eastAsia="Yu Mincho"/>
                <w:b/>
                <w:bCs/>
                <w:sz w:val="18"/>
                <w:szCs w:val="18"/>
                <w:highlight w:val="none"/>
              </w:rPr>
              <w:t>Timing</w:t>
            </w:r>
          </w:p>
        </w:tc>
        <w:tc>
          <w:tcPr>
            <w:tcW w:w="1300" w:type="dxa"/>
          </w:tcPr>
          <w:p>
            <w:pPr>
              <w:jc w:val="center"/>
              <w:rPr>
                <w:rFonts w:eastAsia="Yu Mincho"/>
                <w:b/>
                <w:bCs/>
                <w:highlight w:val="none"/>
              </w:rPr>
            </w:pPr>
            <w:r>
              <w:rPr>
                <w:rFonts w:hint="eastAsia" w:eastAsia="Yu Mincho"/>
                <w:b/>
                <w:bCs/>
                <w:sz w:val="18"/>
                <w:szCs w:val="18"/>
                <w:highlight w:val="none"/>
              </w:rPr>
              <w:t>Test number</w:t>
            </w:r>
          </w:p>
        </w:tc>
        <w:tc>
          <w:tcPr>
            <w:tcW w:w="1300" w:type="dxa"/>
          </w:tcPr>
          <w:p>
            <w:pPr>
              <w:jc w:val="center"/>
              <w:rPr>
                <w:rFonts w:eastAsia="Yu Mincho"/>
                <w:b/>
                <w:bCs/>
                <w:sz w:val="18"/>
                <w:szCs w:val="18"/>
                <w:highlight w:val="none"/>
              </w:rPr>
            </w:pPr>
            <w:r>
              <w:rPr>
                <w:rFonts w:hint="eastAsia" w:eastAsia="宋体"/>
                <w:b/>
                <w:bCs/>
                <w:sz w:val="18"/>
                <w:szCs w:val="18"/>
                <w:highlight w:val="none"/>
              </w:rPr>
              <w:t>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0" w:type="dxa"/>
            <w:vAlign w:val="center"/>
          </w:tcPr>
          <w:p>
            <w:pPr>
              <w:rPr>
                <w:rFonts w:eastAsia="Yu Mincho"/>
                <w:sz w:val="18"/>
                <w:szCs w:val="18"/>
                <w:highlight w:val="none"/>
              </w:rPr>
            </w:pPr>
            <w:r>
              <w:rPr>
                <w:rFonts w:hint="eastAsia" w:eastAsia="Yu Mincho"/>
                <w:sz w:val="18"/>
                <w:szCs w:val="18"/>
                <w:highlight w:val="none"/>
              </w:rPr>
              <w:t>UE transmit timing test</w:t>
            </w:r>
          </w:p>
        </w:tc>
        <w:tc>
          <w:tcPr>
            <w:tcW w:w="1300" w:type="dxa"/>
            <w:vAlign w:val="center"/>
          </w:tcPr>
          <w:p>
            <w:pPr>
              <w:rPr>
                <w:rFonts w:eastAsia="Yu Mincho"/>
                <w:sz w:val="18"/>
                <w:szCs w:val="18"/>
                <w:highlight w:val="none"/>
              </w:rPr>
            </w:pPr>
            <w:r>
              <w:rPr>
                <w:rFonts w:hint="eastAsia" w:eastAsia="Yu Mincho"/>
                <w:sz w:val="18"/>
                <w:szCs w:val="18"/>
                <w:highlight w:val="none"/>
              </w:rPr>
              <w:t>ATG 3-1</w:t>
            </w:r>
          </w:p>
        </w:tc>
        <w:tc>
          <w:tcPr>
            <w:tcW w:w="1300" w:type="dxa"/>
            <w:vMerge w:val="restart"/>
            <w:vAlign w:val="center"/>
          </w:tcPr>
          <w:p>
            <w:pPr>
              <w:rPr>
                <w:rFonts w:eastAsia="Yu Mincho"/>
                <w:sz w:val="18"/>
                <w:szCs w:val="18"/>
                <w:highlight w:val="none"/>
              </w:rPr>
            </w:pPr>
            <w:r>
              <w:rPr>
                <w:rFonts w:hint="eastAsia" w:eastAsia="宋体"/>
                <w:sz w:val="18"/>
                <w:szCs w:val="18"/>
                <w:highlight w:val="none"/>
              </w:rPr>
              <w:t>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highlight w:val="none"/>
              </w:rPr>
            </w:pPr>
            <w:r>
              <w:rPr>
                <w:rFonts w:hint="eastAsia" w:eastAsia="Yu Mincho"/>
                <w:sz w:val="18"/>
                <w:szCs w:val="18"/>
                <w:highlight w:val="none"/>
              </w:rPr>
              <w:t>T</w:t>
            </w:r>
            <w:r>
              <w:rPr>
                <w:rFonts w:eastAsia="Yu Mincho"/>
                <w:sz w:val="18"/>
                <w:szCs w:val="18"/>
                <w:highlight w:val="none"/>
              </w:rPr>
              <w:t xml:space="preserve">iming advance adjustment </w:t>
            </w:r>
            <w:r>
              <w:rPr>
                <w:rFonts w:hint="eastAsia" w:eastAsia="Yu Mincho"/>
                <w:sz w:val="18"/>
                <w:szCs w:val="18"/>
                <w:highlight w:val="none"/>
              </w:rPr>
              <w:t xml:space="preserve">delay and </w:t>
            </w:r>
            <w:r>
              <w:rPr>
                <w:rFonts w:eastAsia="Yu Mincho"/>
                <w:sz w:val="18"/>
                <w:szCs w:val="18"/>
                <w:highlight w:val="none"/>
              </w:rPr>
              <w:t>accuracy</w:t>
            </w:r>
          </w:p>
        </w:tc>
        <w:tc>
          <w:tcPr>
            <w:tcW w:w="1300" w:type="dxa"/>
            <w:vAlign w:val="center"/>
          </w:tcPr>
          <w:p>
            <w:pPr>
              <w:rPr>
                <w:rFonts w:eastAsia="Yu Mincho"/>
                <w:sz w:val="18"/>
                <w:szCs w:val="18"/>
                <w:highlight w:val="none"/>
              </w:rPr>
            </w:pPr>
            <w:r>
              <w:rPr>
                <w:rFonts w:hint="eastAsia" w:eastAsia="Yu Mincho"/>
                <w:sz w:val="18"/>
                <w:szCs w:val="18"/>
                <w:highlight w:val="none"/>
              </w:rPr>
              <w:t>ATG 3-2</w:t>
            </w:r>
          </w:p>
        </w:tc>
        <w:tc>
          <w:tcPr>
            <w:tcW w:w="1300" w:type="dxa"/>
            <w:vMerge w:val="continue"/>
            <w:vAlign w:val="center"/>
          </w:tcPr>
          <w:p>
            <w:pPr>
              <w:rPr>
                <w:rFonts w:eastAsia="Yu Mincho"/>
                <w:sz w:val="18"/>
                <w:szCs w:val="18"/>
                <w:highlight w:val="none"/>
              </w:rPr>
            </w:pPr>
          </w:p>
        </w:tc>
      </w:tr>
    </w:tbl>
    <w:p>
      <w:pPr>
        <w:pStyle w:val="74"/>
        <w:spacing w:after="120"/>
        <w:ind w:firstLine="0" w:firstLineChars="0"/>
        <w:rPr>
          <w:rFonts w:eastAsia="宋体"/>
          <w:highlight w:val="none"/>
        </w:rPr>
      </w:pPr>
    </w:p>
    <w:tbl>
      <w:tblPr>
        <w:tblStyle w:val="20"/>
        <w:tblW w:w="9840" w:type="dxa"/>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0"/>
        <w:gridCol w:w="1310"/>
        <w:gridCol w:w="1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7220" w:type="dxa"/>
          </w:tcPr>
          <w:p>
            <w:pPr>
              <w:jc w:val="center"/>
              <w:rPr>
                <w:rFonts w:eastAsia="Yu Mincho"/>
                <w:b/>
                <w:bCs/>
                <w:sz w:val="18"/>
                <w:szCs w:val="18"/>
                <w:highlight w:val="none"/>
              </w:rPr>
            </w:pPr>
            <w:r>
              <w:rPr>
                <w:rFonts w:hint="eastAsia" w:eastAsia="Yu Mincho"/>
                <w:b/>
                <w:bCs/>
                <w:sz w:val="18"/>
                <w:szCs w:val="18"/>
                <w:highlight w:val="none"/>
              </w:rPr>
              <w:t>Test scope</w:t>
            </w:r>
          </w:p>
          <w:p>
            <w:pPr>
              <w:jc w:val="center"/>
              <w:rPr>
                <w:rFonts w:eastAsia="Yu Mincho"/>
                <w:b/>
                <w:bCs/>
                <w:highlight w:val="none"/>
              </w:rPr>
            </w:pPr>
            <w:r>
              <w:rPr>
                <w:rFonts w:hint="eastAsia" w:eastAsia="Yu Mincho"/>
                <w:b/>
                <w:bCs/>
                <w:sz w:val="18"/>
                <w:szCs w:val="18"/>
                <w:highlight w:val="none"/>
              </w:rPr>
              <w:t>Signalling characteristics</w:t>
            </w:r>
          </w:p>
        </w:tc>
        <w:tc>
          <w:tcPr>
            <w:tcW w:w="1310" w:type="dxa"/>
          </w:tcPr>
          <w:p>
            <w:pPr>
              <w:jc w:val="center"/>
              <w:rPr>
                <w:rFonts w:eastAsia="Yu Mincho"/>
                <w:b/>
                <w:bCs/>
                <w:highlight w:val="none"/>
              </w:rPr>
            </w:pPr>
            <w:r>
              <w:rPr>
                <w:rFonts w:hint="eastAsia" w:eastAsia="Yu Mincho"/>
                <w:b/>
                <w:bCs/>
                <w:sz w:val="18"/>
                <w:szCs w:val="18"/>
                <w:highlight w:val="none"/>
              </w:rPr>
              <w:t>Test number</w:t>
            </w:r>
          </w:p>
        </w:tc>
        <w:tc>
          <w:tcPr>
            <w:tcW w:w="1310" w:type="dxa"/>
          </w:tcPr>
          <w:p>
            <w:pPr>
              <w:jc w:val="center"/>
              <w:rPr>
                <w:rFonts w:eastAsia="Yu Mincho"/>
                <w:b/>
                <w:bCs/>
                <w:sz w:val="18"/>
                <w:szCs w:val="18"/>
                <w:highlight w:val="none"/>
              </w:rPr>
            </w:pPr>
            <w:r>
              <w:rPr>
                <w:rFonts w:hint="eastAsia" w:eastAsia="宋体"/>
                <w:b/>
                <w:bCs/>
                <w:sz w:val="18"/>
                <w:szCs w:val="18"/>
                <w:highlight w:val="none"/>
              </w:rPr>
              <w:t>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0" w:type="dxa"/>
            <w:vAlign w:val="center"/>
          </w:tcPr>
          <w:p>
            <w:pPr>
              <w:rPr>
                <w:rFonts w:eastAsia="Yu Mincho"/>
                <w:sz w:val="18"/>
                <w:szCs w:val="18"/>
                <w:highlight w:val="none"/>
              </w:rPr>
            </w:pPr>
            <w:r>
              <w:rPr>
                <w:rFonts w:eastAsia="Yu Mincho"/>
                <w:sz w:val="18"/>
                <w:szCs w:val="18"/>
                <w:highlight w:val="none"/>
              </w:rPr>
              <w:t>Radio Link Monitoring Out-of-sync Test for FR1 PCell configured with SSB-based RLM RS in non-DRX mode</w:t>
            </w:r>
          </w:p>
        </w:tc>
        <w:tc>
          <w:tcPr>
            <w:tcW w:w="1310" w:type="dxa"/>
            <w:vAlign w:val="center"/>
          </w:tcPr>
          <w:p>
            <w:pPr>
              <w:rPr>
                <w:rFonts w:eastAsia="Yu Mincho"/>
                <w:sz w:val="18"/>
                <w:szCs w:val="18"/>
                <w:highlight w:val="none"/>
              </w:rPr>
            </w:pPr>
            <w:r>
              <w:rPr>
                <w:rFonts w:hint="eastAsia" w:eastAsia="Yu Mincho"/>
                <w:sz w:val="18"/>
                <w:szCs w:val="18"/>
                <w:highlight w:val="none"/>
              </w:rPr>
              <w:t>ATG 4-1</w:t>
            </w:r>
          </w:p>
        </w:tc>
        <w:tc>
          <w:tcPr>
            <w:tcW w:w="1310" w:type="dxa"/>
            <w:vMerge w:val="restart"/>
            <w:vAlign w:val="center"/>
          </w:tcPr>
          <w:p>
            <w:pPr>
              <w:rPr>
                <w:rFonts w:eastAsia="宋体"/>
                <w:sz w:val="18"/>
                <w:szCs w:val="18"/>
                <w:highlight w:val="none"/>
              </w:rPr>
            </w:pPr>
            <w:r>
              <w:rPr>
                <w:rFonts w:eastAsia="宋体"/>
                <w:sz w:val="18"/>
                <w:szCs w:val="18"/>
                <w:highlight w:val="none"/>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highlight w:val="none"/>
              </w:rPr>
            </w:pPr>
            <w:r>
              <w:rPr>
                <w:rFonts w:eastAsia="Yu Mincho"/>
                <w:sz w:val="18"/>
                <w:szCs w:val="18"/>
                <w:highlight w:val="none"/>
              </w:rPr>
              <w:t>Radio Link Monitoring In-sync Test for FR1 PCell configured with SSB-based RLM RS in non-DRX mode</w:t>
            </w:r>
          </w:p>
        </w:tc>
        <w:tc>
          <w:tcPr>
            <w:tcW w:w="1310" w:type="dxa"/>
            <w:vAlign w:val="center"/>
          </w:tcPr>
          <w:p>
            <w:pPr>
              <w:rPr>
                <w:rFonts w:eastAsia="Yu Mincho"/>
                <w:sz w:val="18"/>
                <w:szCs w:val="18"/>
                <w:highlight w:val="none"/>
              </w:rPr>
            </w:pPr>
            <w:r>
              <w:rPr>
                <w:rFonts w:hint="eastAsia" w:eastAsia="Yu Mincho"/>
                <w:sz w:val="18"/>
                <w:szCs w:val="18"/>
                <w:highlight w:val="none"/>
              </w:rPr>
              <w:t>ATG 4-2</w:t>
            </w:r>
          </w:p>
        </w:tc>
        <w:tc>
          <w:tcPr>
            <w:tcW w:w="131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highlight w:val="none"/>
              </w:rPr>
            </w:pPr>
            <w:r>
              <w:rPr>
                <w:rFonts w:eastAsia="Yu Mincho"/>
                <w:sz w:val="18"/>
                <w:szCs w:val="18"/>
                <w:highlight w:val="none"/>
              </w:rPr>
              <w:t>Radio Link Monitoring Out-of-sync Test for FR1 PCell configured with CSI-RS-based RLM in non-DRX mode</w:t>
            </w:r>
          </w:p>
        </w:tc>
        <w:tc>
          <w:tcPr>
            <w:tcW w:w="1310" w:type="dxa"/>
            <w:vAlign w:val="center"/>
          </w:tcPr>
          <w:p>
            <w:pPr>
              <w:rPr>
                <w:rFonts w:eastAsia="Yu Mincho"/>
                <w:sz w:val="18"/>
                <w:szCs w:val="18"/>
                <w:highlight w:val="none"/>
              </w:rPr>
            </w:pPr>
            <w:r>
              <w:rPr>
                <w:rFonts w:hint="eastAsia" w:eastAsia="Yu Mincho"/>
                <w:sz w:val="18"/>
                <w:szCs w:val="18"/>
                <w:highlight w:val="none"/>
              </w:rPr>
              <w:t>ATG 4-3</w:t>
            </w:r>
          </w:p>
        </w:tc>
        <w:tc>
          <w:tcPr>
            <w:tcW w:w="131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highlight w:val="none"/>
              </w:rPr>
            </w:pPr>
            <w:r>
              <w:rPr>
                <w:rFonts w:eastAsia="Yu Mincho"/>
                <w:sz w:val="18"/>
                <w:szCs w:val="18"/>
                <w:highlight w:val="none"/>
              </w:rPr>
              <w:t>Radio Link Monitoring In-sync Test for FR1 PCell configured with CSI-RS-based RLM in non-DRX mode</w:t>
            </w:r>
          </w:p>
        </w:tc>
        <w:tc>
          <w:tcPr>
            <w:tcW w:w="1310" w:type="dxa"/>
            <w:vAlign w:val="center"/>
          </w:tcPr>
          <w:p>
            <w:pPr>
              <w:rPr>
                <w:rFonts w:eastAsia="Yu Mincho"/>
                <w:sz w:val="18"/>
                <w:szCs w:val="18"/>
                <w:highlight w:val="none"/>
              </w:rPr>
            </w:pPr>
            <w:r>
              <w:rPr>
                <w:rFonts w:hint="eastAsia" w:eastAsia="Yu Mincho"/>
                <w:sz w:val="18"/>
                <w:szCs w:val="18"/>
                <w:highlight w:val="none"/>
              </w:rPr>
              <w:t>ATG 4-4</w:t>
            </w:r>
          </w:p>
        </w:tc>
        <w:tc>
          <w:tcPr>
            <w:tcW w:w="131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highlight w:val="none"/>
              </w:rPr>
            </w:pPr>
            <w:r>
              <w:rPr>
                <w:rFonts w:eastAsia="Yu Mincho"/>
                <w:sz w:val="18"/>
                <w:szCs w:val="18"/>
                <w:highlight w:val="none"/>
              </w:rPr>
              <w:t>Beam Failure Detection and Link Recovery Test for FR1 PCell configured with SSB-based BFD and LR in non-DRX mode</w:t>
            </w:r>
          </w:p>
        </w:tc>
        <w:tc>
          <w:tcPr>
            <w:tcW w:w="1310" w:type="dxa"/>
            <w:vAlign w:val="center"/>
          </w:tcPr>
          <w:p>
            <w:pPr>
              <w:rPr>
                <w:rFonts w:eastAsia="Yu Mincho"/>
                <w:sz w:val="18"/>
                <w:szCs w:val="18"/>
                <w:highlight w:val="none"/>
              </w:rPr>
            </w:pPr>
            <w:r>
              <w:rPr>
                <w:rFonts w:hint="eastAsia" w:eastAsia="Yu Mincho"/>
                <w:sz w:val="18"/>
                <w:szCs w:val="18"/>
                <w:highlight w:val="none"/>
              </w:rPr>
              <w:t>ATG 4-5</w:t>
            </w:r>
          </w:p>
        </w:tc>
        <w:tc>
          <w:tcPr>
            <w:tcW w:w="131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highlight w:val="none"/>
              </w:rPr>
            </w:pPr>
            <w:r>
              <w:rPr>
                <w:rFonts w:eastAsia="Yu Mincho"/>
                <w:sz w:val="18"/>
                <w:szCs w:val="18"/>
                <w:highlight w:val="none"/>
              </w:rPr>
              <w:t>Beam Failure Detection and Link Recovery Test for FR1 PCell configured with CSI-RS-based BFD and LR in non-DRX mode</w:t>
            </w:r>
          </w:p>
        </w:tc>
        <w:tc>
          <w:tcPr>
            <w:tcW w:w="1310" w:type="dxa"/>
            <w:vAlign w:val="center"/>
          </w:tcPr>
          <w:p>
            <w:pPr>
              <w:rPr>
                <w:rFonts w:eastAsia="Yu Mincho"/>
                <w:sz w:val="18"/>
                <w:szCs w:val="18"/>
                <w:highlight w:val="none"/>
              </w:rPr>
            </w:pPr>
            <w:r>
              <w:rPr>
                <w:rFonts w:hint="eastAsia" w:eastAsia="Yu Mincho"/>
                <w:sz w:val="18"/>
                <w:szCs w:val="18"/>
                <w:highlight w:val="none"/>
              </w:rPr>
              <w:t>ATG 4-6</w:t>
            </w:r>
          </w:p>
        </w:tc>
        <w:tc>
          <w:tcPr>
            <w:tcW w:w="131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highlight w:val="none"/>
              </w:rPr>
            </w:pPr>
            <w:r>
              <w:rPr>
                <w:rFonts w:eastAsia="Yu Mincho"/>
                <w:sz w:val="18"/>
                <w:szCs w:val="18"/>
                <w:highlight w:val="none"/>
              </w:rPr>
              <w:t>DCI-based and Timer-based Active BWP Switch</w:t>
            </w:r>
          </w:p>
        </w:tc>
        <w:tc>
          <w:tcPr>
            <w:tcW w:w="1310" w:type="dxa"/>
            <w:vAlign w:val="center"/>
          </w:tcPr>
          <w:p>
            <w:pPr>
              <w:rPr>
                <w:rFonts w:eastAsia="Yu Mincho"/>
                <w:sz w:val="18"/>
                <w:szCs w:val="18"/>
                <w:highlight w:val="none"/>
              </w:rPr>
            </w:pPr>
            <w:r>
              <w:rPr>
                <w:rFonts w:hint="eastAsia" w:eastAsia="Yu Mincho"/>
                <w:sz w:val="18"/>
                <w:szCs w:val="18"/>
                <w:highlight w:val="none"/>
              </w:rPr>
              <w:t>ATG 4-7</w:t>
            </w:r>
          </w:p>
        </w:tc>
        <w:tc>
          <w:tcPr>
            <w:tcW w:w="131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highlight w:val="none"/>
              </w:rPr>
            </w:pPr>
            <w:r>
              <w:rPr>
                <w:rFonts w:eastAsia="Yu Mincho"/>
                <w:sz w:val="18"/>
                <w:szCs w:val="18"/>
                <w:highlight w:val="none"/>
              </w:rPr>
              <w:t>RRC-based Active BWP Switch</w:t>
            </w:r>
          </w:p>
        </w:tc>
        <w:tc>
          <w:tcPr>
            <w:tcW w:w="1310" w:type="dxa"/>
            <w:vAlign w:val="center"/>
          </w:tcPr>
          <w:p>
            <w:pPr>
              <w:rPr>
                <w:rFonts w:eastAsia="Yu Mincho"/>
                <w:sz w:val="18"/>
                <w:szCs w:val="18"/>
                <w:highlight w:val="none"/>
              </w:rPr>
            </w:pPr>
            <w:r>
              <w:rPr>
                <w:rFonts w:hint="eastAsia" w:eastAsia="Yu Mincho"/>
                <w:sz w:val="18"/>
                <w:szCs w:val="18"/>
                <w:highlight w:val="none"/>
              </w:rPr>
              <w:t>ATG 4-8</w:t>
            </w:r>
          </w:p>
        </w:tc>
        <w:tc>
          <w:tcPr>
            <w:tcW w:w="131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highlight w:val="none"/>
              </w:rPr>
            </w:pPr>
            <w:r>
              <w:rPr>
                <w:rFonts w:eastAsia="Yu Mincho"/>
                <w:sz w:val="18"/>
                <w:szCs w:val="18"/>
                <w:highlight w:val="none"/>
              </w:rPr>
              <w:t>UE specific CBW change</w:t>
            </w:r>
          </w:p>
        </w:tc>
        <w:tc>
          <w:tcPr>
            <w:tcW w:w="1310" w:type="dxa"/>
            <w:vAlign w:val="center"/>
          </w:tcPr>
          <w:p>
            <w:pPr>
              <w:rPr>
                <w:rFonts w:eastAsia="Yu Mincho"/>
                <w:sz w:val="18"/>
                <w:szCs w:val="18"/>
                <w:highlight w:val="none"/>
              </w:rPr>
            </w:pPr>
            <w:r>
              <w:rPr>
                <w:rFonts w:hint="eastAsia" w:eastAsia="Yu Mincho"/>
                <w:sz w:val="18"/>
                <w:szCs w:val="18"/>
                <w:highlight w:val="none"/>
              </w:rPr>
              <w:t>ATG 4-9</w:t>
            </w:r>
          </w:p>
        </w:tc>
        <w:tc>
          <w:tcPr>
            <w:tcW w:w="131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highlight w:val="none"/>
              </w:rPr>
            </w:pPr>
            <w:r>
              <w:rPr>
                <w:rFonts w:eastAsia="Yu Mincho"/>
                <w:sz w:val="18"/>
                <w:szCs w:val="18"/>
                <w:highlight w:val="none"/>
              </w:rPr>
              <w:t>Pathloss reference signal switching delay</w:t>
            </w:r>
          </w:p>
        </w:tc>
        <w:tc>
          <w:tcPr>
            <w:tcW w:w="1310" w:type="dxa"/>
            <w:vAlign w:val="center"/>
          </w:tcPr>
          <w:p>
            <w:pPr>
              <w:rPr>
                <w:rFonts w:eastAsia="Yu Mincho"/>
                <w:sz w:val="18"/>
                <w:szCs w:val="18"/>
                <w:highlight w:val="none"/>
              </w:rPr>
            </w:pPr>
            <w:r>
              <w:rPr>
                <w:rFonts w:hint="eastAsia" w:eastAsia="Yu Mincho"/>
                <w:sz w:val="18"/>
                <w:szCs w:val="18"/>
                <w:highlight w:val="none"/>
              </w:rPr>
              <w:t>ATG 4-10</w:t>
            </w:r>
          </w:p>
        </w:tc>
        <w:tc>
          <w:tcPr>
            <w:tcW w:w="1310" w:type="dxa"/>
            <w:vMerge w:val="continue"/>
            <w:vAlign w:val="center"/>
          </w:tcPr>
          <w:p>
            <w:pPr>
              <w:rPr>
                <w:rFonts w:eastAsia="Yu Mincho"/>
                <w:sz w:val="18"/>
                <w:szCs w:val="18"/>
                <w:highlight w:val="none"/>
              </w:rPr>
            </w:pPr>
          </w:p>
        </w:tc>
      </w:tr>
    </w:tbl>
    <w:p>
      <w:pPr>
        <w:pStyle w:val="74"/>
        <w:spacing w:after="120"/>
        <w:ind w:firstLine="0" w:firstLineChars="0"/>
        <w:rPr>
          <w:rFonts w:eastAsia="宋体"/>
          <w:highlight w:val="none"/>
        </w:rPr>
      </w:pPr>
    </w:p>
    <w:tbl>
      <w:tblPr>
        <w:tblStyle w:val="20"/>
        <w:tblW w:w="0" w:type="auto"/>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0"/>
        <w:gridCol w:w="1300"/>
        <w:gridCol w:w="1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7230" w:type="dxa"/>
          </w:tcPr>
          <w:p>
            <w:pPr>
              <w:jc w:val="center"/>
              <w:rPr>
                <w:rFonts w:eastAsia="Yu Mincho"/>
                <w:b/>
                <w:bCs/>
                <w:sz w:val="18"/>
                <w:szCs w:val="18"/>
                <w:highlight w:val="none"/>
              </w:rPr>
            </w:pPr>
            <w:r>
              <w:rPr>
                <w:rFonts w:hint="eastAsia" w:eastAsia="Yu Mincho"/>
                <w:b/>
                <w:bCs/>
                <w:sz w:val="18"/>
                <w:szCs w:val="18"/>
                <w:highlight w:val="none"/>
              </w:rPr>
              <w:t>Test scope</w:t>
            </w:r>
          </w:p>
          <w:p>
            <w:pPr>
              <w:jc w:val="center"/>
              <w:rPr>
                <w:rFonts w:eastAsia="Yu Mincho"/>
                <w:b/>
                <w:bCs/>
                <w:highlight w:val="none"/>
              </w:rPr>
            </w:pPr>
            <w:r>
              <w:rPr>
                <w:rFonts w:hint="eastAsia" w:eastAsia="Yu Mincho"/>
                <w:b/>
                <w:bCs/>
                <w:sz w:val="18"/>
                <w:szCs w:val="18"/>
                <w:highlight w:val="none"/>
              </w:rPr>
              <w:t>Measurement procedure</w:t>
            </w:r>
          </w:p>
        </w:tc>
        <w:tc>
          <w:tcPr>
            <w:tcW w:w="1300" w:type="dxa"/>
          </w:tcPr>
          <w:p>
            <w:pPr>
              <w:jc w:val="center"/>
              <w:rPr>
                <w:rFonts w:eastAsia="Yu Mincho"/>
                <w:b/>
                <w:bCs/>
                <w:highlight w:val="none"/>
              </w:rPr>
            </w:pPr>
            <w:r>
              <w:rPr>
                <w:rFonts w:hint="eastAsia" w:eastAsia="Yu Mincho"/>
                <w:b/>
                <w:bCs/>
                <w:sz w:val="18"/>
                <w:szCs w:val="18"/>
                <w:highlight w:val="none"/>
              </w:rPr>
              <w:t>Test number</w:t>
            </w:r>
          </w:p>
        </w:tc>
        <w:tc>
          <w:tcPr>
            <w:tcW w:w="1300" w:type="dxa"/>
          </w:tcPr>
          <w:p>
            <w:pPr>
              <w:jc w:val="center"/>
              <w:rPr>
                <w:rFonts w:eastAsia="Yu Mincho"/>
                <w:b/>
                <w:bCs/>
                <w:sz w:val="18"/>
                <w:szCs w:val="18"/>
                <w:highlight w:val="none"/>
              </w:rPr>
            </w:pPr>
            <w:r>
              <w:rPr>
                <w:rFonts w:hint="eastAsia" w:eastAsia="宋体"/>
                <w:b/>
                <w:bCs/>
                <w:sz w:val="18"/>
                <w:szCs w:val="18"/>
                <w:highlight w:val="none"/>
              </w:rPr>
              <w:t>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7230" w:type="dxa"/>
            <w:vAlign w:val="center"/>
          </w:tcPr>
          <w:p>
            <w:pPr>
              <w:rPr>
                <w:rFonts w:eastAsia="Yu Mincho"/>
                <w:sz w:val="18"/>
                <w:szCs w:val="18"/>
                <w:highlight w:val="none"/>
              </w:rPr>
            </w:pPr>
            <w:r>
              <w:rPr>
                <w:rFonts w:hint="eastAsia" w:eastAsia="Yu Mincho"/>
                <w:sz w:val="18"/>
                <w:szCs w:val="18"/>
                <w:highlight w:val="none"/>
              </w:rPr>
              <w:t>Intra-frequency measurements event triggered reporting tests without gap under non-DRX</w:t>
            </w:r>
          </w:p>
        </w:tc>
        <w:tc>
          <w:tcPr>
            <w:tcW w:w="1300" w:type="dxa"/>
            <w:vAlign w:val="center"/>
          </w:tcPr>
          <w:p>
            <w:pPr>
              <w:rPr>
                <w:rFonts w:eastAsia="Yu Mincho"/>
                <w:sz w:val="18"/>
                <w:szCs w:val="18"/>
                <w:highlight w:val="none"/>
              </w:rPr>
            </w:pPr>
            <w:r>
              <w:rPr>
                <w:rFonts w:hint="eastAsia" w:eastAsia="Yu Mincho"/>
                <w:sz w:val="18"/>
                <w:szCs w:val="18"/>
                <w:highlight w:val="none"/>
              </w:rPr>
              <w:t>ATG 5-1</w:t>
            </w:r>
          </w:p>
        </w:tc>
        <w:tc>
          <w:tcPr>
            <w:tcW w:w="1300" w:type="dxa"/>
            <w:vMerge w:val="restart"/>
            <w:vAlign w:val="center"/>
          </w:tcPr>
          <w:p>
            <w:pPr>
              <w:rPr>
                <w:rFonts w:eastAsia="Yu Mincho"/>
                <w:sz w:val="18"/>
                <w:szCs w:val="18"/>
                <w:highlight w:val="none"/>
              </w:rPr>
            </w:pPr>
            <w:r>
              <w:rPr>
                <w:rFonts w:hint="eastAsia" w:eastAsia="宋体"/>
                <w:sz w:val="18"/>
                <w:szCs w:val="18"/>
                <w:highlight w:val="none"/>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7230" w:type="dxa"/>
            <w:vAlign w:val="center"/>
          </w:tcPr>
          <w:p>
            <w:pPr>
              <w:rPr>
                <w:rFonts w:eastAsia="Yu Mincho"/>
                <w:sz w:val="18"/>
                <w:szCs w:val="18"/>
                <w:highlight w:val="none"/>
              </w:rPr>
            </w:pPr>
            <w:r>
              <w:rPr>
                <w:rFonts w:hint="eastAsia" w:eastAsia="Yu Mincho"/>
                <w:sz w:val="18"/>
                <w:szCs w:val="18"/>
                <w:highlight w:val="none"/>
              </w:rPr>
              <w:t>Intra-frequency measurements event triggered reporting tests with per-UE gaps under non-DRX</w:t>
            </w:r>
          </w:p>
        </w:tc>
        <w:tc>
          <w:tcPr>
            <w:tcW w:w="1300" w:type="dxa"/>
            <w:vAlign w:val="center"/>
          </w:tcPr>
          <w:p>
            <w:pPr>
              <w:rPr>
                <w:rFonts w:eastAsia="Yu Mincho"/>
                <w:sz w:val="18"/>
                <w:szCs w:val="18"/>
                <w:highlight w:val="none"/>
              </w:rPr>
            </w:pPr>
            <w:r>
              <w:rPr>
                <w:rFonts w:hint="eastAsia" w:eastAsia="Yu Mincho"/>
                <w:sz w:val="18"/>
                <w:szCs w:val="18"/>
                <w:highlight w:val="none"/>
              </w:rPr>
              <w:t>ATG 5-2</w:t>
            </w:r>
          </w:p>
        </w:tc>
        <w:tc>
          <w:tcPr>
            <w:tcW w:w="130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rPr>
                <w:rFonts w:eastAsia="Yu Mincho"/>
                <w:sz w:val="18"/>
                <w:szCs w:val="18"/>
                <w:highlight w:val="none"/>
              </w:rPr>
            </w:pPr>
            <w:r>
              <w:rPr>
                <w:rFonts w:hint="eastAsia" w:eastAsia="Yu Mincho"/>
                <w:sz w:val="18"/>
                <w:szCs w:val="18"/>
                <w:highlight w:val="none"/>
              </w:rPr>
              <w:t>Intra-frequency measurements event triggered reporting tests without gap under non-DRX with SSB index reading</w:t>
            </w:r>
          </w:p>
        </w:tc>
        <w:tc>
          <w:tcPr>
            <w:tcW w:w="1300" w:type="dxa"/>
            <w:vAlign w:val="center"/>
          </w:tcPr>
          <w:p>
            <w:pPr>
              <w:rPr>
                <w:rFonts w:eastAsia="Yu Mincho"/>
                <w:sz w:val="18"/>
                <w:szCs w:val="18"/>
                <w:highlight w:val="none"/>
              </w:rPr>
            </w:pPr>
            <w:r>
              <w:rPr>
                <w:rFonts w:hint="eastAsia" w:eastAsia="Yu Mincho"/>
                <w:sz w:val="18"/>
                <w:szCs w:val="18"/>
                <w:highlight w:val="none"/>
              </w:rPr>
              <w:t>ATG 5-3</w:t>
            </w:r>
          </w:p>
        </w:tc>
        <w:tc>
          <w:tcPr>
            <w:tcW w:w="130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rPr>
                <w:rFonts w:eastAsia="Yu Mincho"/>
                <w:sz w:val="18"/>
                <w:szCs w:val="18"/>
                <w:highlight w:val="none"/>
              </w:rPr>
            </w:pPr>
            <w:r>
              <w:rPr>
                <w:rFonts w:hint="eastAsia" w:eastAsia="Yu Mincho"/>
                <w:sz w:val="18"/>
                <w:szCs w:val="18"/>
                <w:highlight w:val="none"/>
              </w:rPr>
              <w:t>Intra-frequency measurements SA event triggered reporting tests with per-UE gaps under non-DRX with SSB index reading</w:t>
            </w:r>
          </w:p>
        </w:tc>
        <w:tc>
          <w:tcPr>
            <w:tcW w:w="1300" w:type="dxa"/>
            <w:vAlign w:val="center"/>
          </w:tcPr>
          <w:p>
            <w:pPr>
              <w:rPr>
                <w:rFonts w:eastAsia="Yu Mincho"/>
                <w:sz w:val="18"/>
                <w:szCs w:val="18"/>
                <w:highlight w:val="none"/>
              </w:rPr>
            </w:pPr>
            <w:r>
              <w:rPr>
                <w:rFonts w:hint="eastAsia" w:eastAsia="Yu Mincho"/>
                <w:sz w:val="18"/>
                <w:szCs w:val="18"/>
                <w:highlight w:val="none"/>
              </w:rPr>
              <w:t>ATG 5-4</w:t>
            </w:r>
          </w:p>
        </w:tc>
        <w:tc>
          <w:tcPr>
            <w:tcW w:w="130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230" w:type="dxa"/>
            <w:vAlign w:val="center"/>
          </w:tcPr>
          <w:p>
            <w:pPr>
              <w:rPr>
                <w:rFonts w:eastAsia="Yu Mincho"/>
                <w:sz w:val="18"/>
                <w:szCs w:val="18"/>
                <w:highlight w:val="none"/>
              </w:rPr>
            </w:pPr>
            <w:r>
              <w:rPr>
                <w:rFonts w:hint="eastAsia" w:eastAsia="Yu Mincho"/>
                <w:sz w:val="18"/>
                <w:szCs w:val="18"/>
                <w:highlight w:val="none"/>
              </w:rPr>
              <w:t>Inter-frequency measurements event triggered reporting tests for FR1 without SSB time index detection when DRX is used</w:t>
            </w:r>
          </w:p>
        </w:tc>
        <w:tc>
          <w:tcPr>
            <w:tcW w:w="1300" w:type="dxa"/>
            <w:vAlign w:val="center"/>
          </w:tcPr>
          <w:p>
            <w:pPr>
              <w:rPr>
                <w:rFonts w:eastAsia="Yu Mincho"/>
                <w:sz w:val="18"/>
                <w:szCs w:val="18"/>
                <w:highlight w:val="none"/>
              </w:rPr>
            </w:pPr>
            <w:r>
              <w:rPr>
                <w:rFonts w:hint="eastAsia" w:eastAsia="Yu Mincho"/>
                <w:sz w:val="18"/>
                <w:szCs w:val="18"/>
                <w:highlight w:val="none"/>
              </w:rPr>
              <w:t>ATG 5-5</w:t>
            </w:r>
          </w:p>
        </w:tc>
        <w:tc>
          <w:tcPr>
            <w:tcW w:w="130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230" w:type="dxa"/>
            <w:vAlign w:val="center"/>
          </w:tcPr>
          <w:p>
            <w:pPr>
              <w:rPr>
                <w:rFonts w:eastAsia="Yu Mincho"/>
                <w:sz w:val="18"/>
                <w:szCs w:val="18"/>
                <w:highlight w:val="none"/>
              </w:rPr>
            </w:pPr>
            <w:r>
              <w:rPr>
                <w:rFonts w:hint="eastAsia" w:eastAsia="Yu Mincho"/>
                <w:sz w:val="18"/>
                <w:szCs w:val="18"/>
                <w:highlight w:val="none"/>
              </w:rPr>
              <w:t>Inter-frequency measurements event triggered reporting tests for FR1 with SSB time index detection when DRX is not used</w:t>
            </w:r>
          </w:p>
        </w:tc>
        <w:tc>
          <w:tcPr>
            <w:tcW w:w="1300" w:type="dxa"/>
            <w:vAlign w:val="center"/>
          </w:tcPr>
          <w:p>
            <w:pPr>
              <w:rPr>
                <w:rFonts w:eastAsia="Yu Mincho"/>
                <w:sz w:val="18"/>
                <w:szCs w:val="18"/>
                <w:highlight w:val="none"/>
              </w:rPr>
            </w:pPr>
            <w:r>
              <w:rPr>
                <w:rFonts w:hint="eastAsia" w:eastAsia="Yu Mincho"/>
                <w:sz w:val="18"/>
                <w:szCs w:val="18"/>
                <w:highlight w:val="none"/>
              </w:rPr>
              <w:t>ATG 5-6</w:t>
            </w:r>
          </w:p>
        </w:tc>
        <w:tc>
          <w:tcPr>
            <w:tcW w:w="130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rPr>
                <w:rFonts w:eastAsia="Yu Mincho"/>
                <w:sz w:val="18"/>
                <w:szCs w:val="18"/>
                <w:highlight w:val="none"/>
              </w:rPr>
            </w:pPr>
            <w:r>
              <w:rPr>
                <w:rFonts w:hint="eastAsia" w:eastAsia="Yu Mincho"/>
                <w:sz w:val="18"/>
                <w:szCs w:val="18"/>
                <w:highlight w:val="none"/>
              </w:rPr>
              <w:t>Inter-frequency measurements event triggered reporting tests for FR1 without gap when DRX is not used</w:t>
            </w:r>
          </w:p>
        </w:tc>
        <w:tc>
          <w:tcPr>
            <w:tcW w:w="1300" w:type="dxa"/>
            <w:vAlign w:val="center"/>
          </w:tcPr>
          <w:p>
            <w:pPr>
              <w:rPr>
                <w:rFonts w:eastAsia="Yu Mincho"/>
                <w:sz w:val="18"/>
                <w:szCs w:val="18"/>
                <w:highlight w:val="none"/>
              </w:rPr>
            </w:pPr>
            <w:r>
              <w:rPr>
                <w:rFonts w:hint="eastAsia" w:eastAsia="Yu Mincho"/>
                <w:sz w:val="18"/>
                <w:szCs w:val="18"/>
                <w:highlight w:val="none"/>
              </w:rPr>
              <w:t>ATG 5-7</w:t>
            </w:r>
          </w:p>
        </w:tc>
        <w:tc>
          <w:tcPr>
            <w:tcW w:w="130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rPr>
                <w:rFonts w:eastAsia="Yu Mincho"/>
                <w:sz w:val="18"/>
                <w:szCs w:val="18"/>
                <w:highlight w:val="none"/>
              </w:rPr>
            </w:pPr>
            <w:r>
              <w:rPr>
                <w:rFonts w:hint="eastAsia" w:eastAsia="Yu Mincho"/>
                <w:sz w:val="18"/>
                <w:szCs w:val="18"/>
                <w:highlight w:val="none"/>
              </w:rPr>
              <w:t>SSB based L1-RSRP measurement when DRX is not used</w:t>
            </w:r>
          </w:p>
        </w:tc>
        <w:tc>
          <w:tcPr>
            <w:tcW w:w="1300" w:type="dxa"/>
            <w:vAlign w:val="center"/>
          </w:tcPr>
          <w:p>
            <w:pPr>
              <w:rPr>
                <w:rFonts w:eastAsia="Yu Mincho"/>
                <w:sz w:val="18"/>
                <w:szCs w:val="18"/>
                <w:highlight w:val="none"/>
              </w:rPr>
            </w:pPr>
            <w:r>
              <w:rPr>
                <w:rFonts w:hint="eastAsia" w:eastAsia="Yu Mincho"/>
                <w:sz w:val="18"/>
                <w:szCs w:val="18"/>
                <w:highlight w:val="none"/>
              </w:rPr>
              <w:t>ATG 5-8</w:t>
            </w:r>
          </w:p>
        </w:tc>
        <w:tc>
          <w:tcPr>
            <w:tcW w:w="1300" w:type="dxa"/>
            <w:vMerge w:val="restart"/>
            <w:vAlign w:val="center"/>
          </w:tcPr>
          <w:p>
            <w:pPr>
              <w:rPr>
                <w:rFonts w:eastAsia="Yu Mincho"/>
                <w:sz w:val="18"/>
                <w:szCs w:val="18"/>
                <w:highlight w:val="none"/>
                <w:lang w:eastAsia="ko-KR"/>
              </w:rPr>
            </w:pPr>
            <w:r>
              <w:rPr>
                <w:rFonts w:eastAsia="宋体"/>
                <w:sz w:val="18"/>
                <w:szCs w:val="18"/>
                <w:highlight w:val="none"/>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rPr>
                <w:rFonts w:eastAsia="Yu Mincho"/>
                <w:sz w:val="18"/>
                <w:szCs w:val="18"/>
                <w:highlight w:val="none"/>
              </w:rPr>
            </w:pPr>
            <w:r>
              <w:rPr>
                <w:rFonts w:hint="eastAsia" w:eastAsia="Yu Mincho"/>
                <w:sz w:val="18"/>
                <w:szCs w:val="18"/>
                <w:highlight w:val="none"/>
              </w:rPr>
              <w:t>CSI-RS based L1-RSRP measurement when DRX is not used</w:t>
            </w:r>
          </w:p>
        </w:tc>
        <w:tc>
          <w:tcPr>
            <w:tcW w:w="1300" w:type="dxa"/>
            <w:vAlign w:val="center"/>
          </w:tcPr>
          <w:p>
            <w:pPr>
              <w:rPr>
                <w:rFonts w:eastAsia="Yu Mincho"/>
                <w:sz w:val="18"/>
                <w:szCs w:val="18"/>
                <w:highlight w:val="none"/>
              </w:rPr>
            </w:pPr>
            <w:r>
              <w:rPr>
                <w:rFonts w:hint="eastAsia" w:eastAsia="Yu Mincho"/>
                <w:sz w:val="18"/>
                <w:szCs w:val="18"/>
                <w:highlight w:val="none"/>
              </w:rPr>
              <w:t>ATG 5-9</w:t>
            </w:r>
          </w:p>
        </w:tc>
        <w:tc>
          <w:tcPr>
            <w:tcW w:w="130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rPr>
                <w:rFonts w:eastAsia="Yu Mincho"/>
                <w:sz w:val="18"/>
                <w:szCs w:val="18"/>
                <w:highlight w:val="none"/>
              </w:rPr>
            </w:pPr>
            <w:r>
              <w:rPr>
                <w:rFonts w:hint="eastAsia" w:eastAsia="Yu Mincho"/>
                <w:sz w:val="18"/>
                <w:szCs w:val="18"/>
                <w:highlight w:val="none"/>
              </w:rPr>
              <w:t>L1-SINR measurement with CSI-RS based CMR and no dedicated IMR configured when DRX is not used</w:t>
            </w:r>
          </w:p>
        </w:tc>
        <w:tc>
          <w:tcPr>
            <w:tcW w:w="1300" w:type="dxa"/>
            <w:vAlign w:val="center"/>
          </w:tcPr>
          <w:p>
            <w:pPr>
              <w:rPr>
                <w:rFonts w:eastAsia="Yu Mincho"/>
                <w:sz w:val="18"/>
                <w:szCs w:val="18"/>
                <w:highlight w:val="none"/>
              </w:rPr>
            </w:pPr>
            <w:r>
              <w:rPr>
                <w:rFonts w:hint="eastAsia" w:eastAsia="Yu Mincho"/>
                <w:sz w:val="18"/>
                <w:szCs w:val="18"/>
                <w:highlight w:val="none"/>
              </w:rPr>
              <w:t>ATG 5-10</w:t>
            </w:r>
          </w:p>
        </w:tc>
        <w:tc>
          <w:tcPr>
            <w:tcW w:w="130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rPr>
                <w:rFonts w:eastAsia="Yu Mincho"/>
                <w:sz w:val="18"/>
                <w:szCs w:val="18"/>
                <w:highlight w:val="none"/>
              </w:rPr>
            </w:pPr>
            <w:r>
              <w:rPr>
                <w:rFonts w:hint="eastAsia" w:eastAsia="Yu Mincho"/>
                <w:sz w:val="18"/>
                <w:szCs w:val="18"/>
                <w:highlight w:val="none"/>
              </w:rPr>
              <w:t>L1-SINR measurement with SSB based CMR and dedicated IMR when DRX is not used</w:t>
            </w:r>
          </w:p>
        </w:tc>
        <w:tc>
          <w:tcPr>
            <w:tcW w:w="1300" w:type="dxa"/>
            <w:vAlign w:val="center"/>
          </w:tcPr>
          <w:p>
            <w:pPr>
              <w:rPr>
                <w:rFonts w:eastAsia="Yu Mincho"/>
                <w:sz w:val="18"/>
                <w:szCs w:val="18"/>
                <w:highlight w:val="none"/>
              </w:rPr>
            </w:pPr>
            <w:r>
              <w:rPr>
                <w:rFonts w:hint="eastAsia" w:eastAsia="Yu Mincho"/>
                <w:sz w:val="18"/>
                <w:szCs w:val="18"/>
                <w:highlight w:val="none"/>
              </w:rPr>
              <w:t>ATG 5-11</w:t>
            </w:r>
          </w:p>
        </w:tc>
        <w:tc>
          <w:tcPr>
            <w:tcW w:w="130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rPr>
                <w:rFonts w:eastAsia="Yu Mincho"/>
                <w:sz w:val="18"/>
                <w:szCs w:val="18"/>
                <w:highlight w:val="none"/>
              </w:rPr>
            </w:pPr>
            <w:r>
              <w:rPr>
                <w:rFonts w:hint="eastAsia" w:eastAsia="Yu Mincho"/>
                <w:sz w:val="18"/>
                <w:szCs w:val="18"/>
                <w:highlight w:val="none"/>
              </w:rPr>
              <w:t>L1-SINR measurement with CSI-RS based CMR and dedicated IMR configured when DRX is not used</w:t>
            </w:r>
          </w:p>
        </w:tc>
        <w:tc>
          <w:tcPr>
            <w:tcW w:w="1300" w:type="dxa"/>
            <w:vAlign w:val="center"/>
          </w:tcPr>
          <w:p>
            <w:pPr>
              <w:rPr>
                <w:rFonts w:eastAsia="Yu Mincho"/>
                <w:sz w:val="18"/>
                <w:szCs w:val="18"/>
                <w:highlight w:val="none"/>
              </w:rPr>
            </w:pPr>
            <w:r>
              <w:rPr>
                <w:rFonts w:hint="eastAsia" w:eastAsia="Yu Mincho"/>
                <w:sz w:val="18"/>
                <w:szCs w:val="18"/>
                <w:highlight w:val="none"/>
              </w:rPr>
              <w:t>ATG 5-12</w:t>
            </w:r>
          </w:p>
        </w:tc>
        <w:tc>
          <w:tcPr>
            <w:tcW w:w="130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rPr>
                <w:rFonts w:eastAsia="Yu Mincho"/>
                <w:sz w:val="18"/>
                <w:szCs w:val="18"/>
                <w:highlight w:val="none"/>
              </w:rPr>
            </w:pPr>
            <w:r>
              <w:rPr>
                <w:rFonts w:hint="eastAsia" w:eastAsia="Yu Mincho"/>
                <w:sz w:val="18"/>
                <w:szCs w:val="18"/>
                <w:highlight w:val="none"/>
              </w:rPr>
              <w:t>SA intra-frequency CGI identification of NR neighbor cell in FR1</w:t>
            </w:r>
          </w:p>
        </w:tc>
        <w:tc>
          <w:tcPr>
            <w:tcW w:w="1300" w:type="dxa"/>
            <w:vAlign w:val="center"/>
          </w:tcPr>
          <w:p>
            <w:pPr>
              <w:rPr>
                <w:rFonts w:eastAsia="Yu Mincho"/>
                <w:sz w:val="18"/>
                <w:szCs w:val="18"/>
                <w:highlight w:val="none"/>
              </w:rPr>
            </w:pPr>
            <w:r>
              <w:rPr>
                <w:rFonts w:hint="eastAsia" w:eastAsia="Yu Mincho"/>
                <w:sz w:val="18"/>
                <w:szCs w:val="18"/>
                <w:highlight w:val="none"/>
              </w:rPr>
              <w:t>ATG 5-13</w:t>
            </w:r>
          </w:p>
        </w:tc>
        <w:tc>
          <w:tcPr>
            <w:tcW w:w="1300" w:type="dxa"/>
            <w:vMerge w:val="continue"/>
            <w:vAlign w:val="center"/>
          </w:tcPr>
          <w:p>
            <w:pPr>
              <w:rPr>
                <w:rFonts w:eastAsia="Yu Mincho"/>
                <w:sz w:val="18"/>
                <w:szCs w:val="18"/>
                <w:highlight w:val="none"/>
              </w:rPr>
            </w:pPr>
          </w:p>
        </w:tc>
      </w:tr>
    </w:tbl>
    <w:p>
      <w:pPr>
        <w:pStyle w:val="74"/>
        <w:spacing w:after="120"/>
        <w:ind w:firstLine="0" w:firstLineChars="0"/>
        <w:rPr>
          <w:rFonts w:eastAsia="宋体"/>
          <w:highlight w:val="none"/>
        </w:rPr>
      </w:pPr>
    </w:p>
    <w:tbl>
      <w:tblPr>
        <w:tblStyle w:val="20"/>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0"/>
        <w:gridCol w:w="1300"/>
        <w:gridCol w:w="1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7220" w:type="dxa"/>
          </w:tcPr>
          <w:p>
            <w:pPr>
              <w:jc w:val="center"/>
              <w:rPr>
                <w:rFonts w:eastAsia="Yu Mincho"/>
                <w:b/>
                <w:bCs/>
                <w:sz w:val="18"/>
                <w:szCs w:val="18"/>
                <w:highlight w:val="none"/>
              </w:rPr>
            </w:pPr>
            <w:r>
              <w:rPr>
                <w:rFonts w:hint="eastAsia" w:eastAsia="Yu Mincho"/>
                <w:b/>
                <w:bCs/>
                <w:sz w:val="18"/>
                <w:szCs w:val="18"/>
                <w:highlight w:val="none"/>
              </w:rPr>
              <w:t>Test scope</w:t>
            </w:r>
          </w:p>
          <w:p>
            <w:pPr>
              <w:jc w:val="center"/>
              <w:rPr>
                <w:rFonts w:eastAsia="Yu Mincho"/>
                <w:b/>
                <w:bCs/>
                <w:highlight w:val="none"/>
              </w:rPr>
            </w:pPr>
            <w:r>
              <w:rPr>
                <w:rFonts w:hint="eastAsia" w:eastAsia="Yu Mincho"/>
                <w:b/>
                <w:bCs/>
                <w:sz w:val="18"/>
                <w:szCs w:val="18"/>
                <w:highlight w:val="none"/>
              </w:rPr>
              <w:t>Measurement Performance requirements</w:t>
            </w:r>
          </w:p>
        </w:tc>
        <w:tc>
          <w:tcPr>
            <w:tcW w:w="1300" w:type="dxa"/>
          </w:tcPr>
          <w:p>
            <w:pPr>
              <w:jc w:val="center"/>
              <w:rPr>
                <w:rFonts w:eastAsia="Yu Mincho"/>
                <w:b/>
                <w:bCs/>
                <w:highlight w:val="none"/>
              </w:rPr>
            </w:pPr>
            <w:r>
              <w:rPr>
                <w:rFonts w:hint="eastAsia" w:eastAsia="Yu Mincho"/>
                <w:b/>
                <w:bCs/>
                <w:sz w:val="18"/>
                <w:szCs w:val="18"/>
                <w:highlight w:val="none"/>
              </w:rPr>
              <w:t>Test number</w:t>
            </w:r>
          </w:p>
        </w:tc>
        <w:tc>
          <w:tcPr>
            <w:tcW w:w="1300" w:type="dxa"/>
          </w:tcPr>
          <w:p>
            <w:pPr>
              <w:jc w:val="center"/>
              <w:rPr>
                <w:rFonts w:eastAsia="Yu Mincho"/>
                <w:b/>
                <w:bCs/>
                <w:sz w:val="18"/>
                <w:szCs w:val="18"/>
                <w:highlight w:val="none"/>
              </w:rPr>
            </w:pPr>
            <w:r>
              <w:rPr>
                <w:rFonts w:hint="eastAsia" w:eastAsia="宋体"/>
                <w:b/>
                <w:bCs/>
                <w:sz w:val="18"/>
                <w:szCs w:val="18"/>
                <w:highlight w:val="none"/>
              </w:rPr>
              <w:t>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0" w:type="dxa"/>
            <w:vAlign w:val="center"/>
          </w:tcPr>
          <w:p>
            <w:pPr>
              <w:rPr>
                <w:rFonts w:eastAsia="Yu Mincho"/>
                <w:sz w:val="18"/>
                <w:szCs w:val="18"/>
                <w:highlight w:val="none"/>
              </w:rPr>
            </w:pPr>
            <w:r>
              <w:rPr>
                <w:rFonts w:hint="eastAsia" w:eastAsia="Yu Mincho"/>
                <w:sz w:val="18"/>
                <w:szCs w:val="18"/>
                <w:highlight w:val="none"/>
              </w:rPr>
              <w:t>SS-RSRP intra-frequency case measurement accuracy with FR1 serving cell and FR1 target cell</w:t>
            </w:r>
          </w:p>
        </w:tc>
        <w:tc>
          <w:tcPr>
            <w:tcW w:w="1300" w:type="dxa"/>
            <w:vAlign w:val="center"/>
          </w:tcPr>
          <w:p>
            <w:pPr>
              <w:rPr>
                <w:rFonts w:eastAsia="Yu Mincho"/>
                <w:sz w:val="18"/>
                <w:szCs w:val="18"/>
                <w:highlight w:val="none"/>
              </w:rPr>
            </w:pPr>
            <w:r>
              <w:rPr>
                <w:rFonts w:hint="eastAsia" w:eastAsia="Yu Mincho"/>
                <w:sz w:val="18"/>
                <w:szCs w:val="18"/>
                <w:highlight w:val="none"/>
              </w:rPr>
              <w:t>ATG 6-1</w:t>
            </w:r>
          </w:p>
        </w:tc>
        <w:tc>
          <w:tcPr>
            <w:tcW w:w="1300" w:type="dxa"/>
            <w:vMerge w:val="restart"/>
            <w:vAlign w:val="center"/>
          </w:tcPr>
          <w:p>
            <w:pPr>
              <w:rPr>
                <w:rFonts w:eastAsia="宋体"/>
                <w:sz w:val="18"/>
                <w:szCs w:val="18"/>
                <w:highlight w:val="none"/>
              </w:rPr>
            </w:pPr>
            <w:r>
              <w:rPr>
                <w:rFonts w:hint="eastAsia" w:eastAsia="宋体"/>
                <w:sz w:val="18"/>
                <w:szCs w:val="18"/>
                <w:highlight w:val="none"/>
              </w:rPr>
              <w:t xml:space="preserve">CATT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highlight w:val="none"/>
              </w:rPr>
            </w:pPr>
            <w:r>
              <w:rPr>
                <w:rFonts w:hint="eastAsia" w:eastAsia="Yu Mincho"/>
                <w:sz w:val="18"/>
                <w:szCs w:val="18"/>
                <w:highlight w:val="none"/>
              </w:rPr>
              <w:t>SS-RSRP inter-frequency case measurement accuracy with FR1 serving cell and FR1 target cell</w:t>
            </w:r>
          </w:p>
        </w:tc>
        <w:tc>
          <w:tcPr>
            <w:tcW w:w="1300" w:type="dxa"/>
            <w:vAlign w:val="center"/>
          </w:tcPr>
          <w:p>
            <w:pPr>
              <w:rPr>
                <w:rFonts w:eastAsia="Yu Mincho"/>
                <w:sz w:val="18"/>
                <w:szCs w:val="18"/>
                <w:highlight w:val="none"/>
              </w:rPr>
            </w:pPr>
            <w:r>
              <w:rPr>
                <w:rFonts w:hint="eastAsia" w:eastAsia="Yu Mincho"/>
                <w:sz w:val="18"/>
                <w:szCs w:val="18"/>
                <w:highlight w:val="none"/>
              </w:rPr>
              <w:t>ATG 6-2</w:t>
            </w:r>
          </w:p>
        </w:tc>
        <w:tc>
          <w:tcPr>
            <w:tcW w:w="130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220" w:type="dxa"/>
            <w:vAlign w:val="center"/>
          </w:tcPr>
          <w:p>
            <w:pPr>
              <w:rPr>
                <w:rFonts w:eastAsia="Yu Mincho"/>
                <w:sz w:val="18"/>
                <w:szCs w:val="18"/>
                <w:highlight w:val="none"/>
              </w:rPr>
            </w:pPr>
            <w:r>
              <w:rPr>
                <w:rFonts w:hint="eastAsia" w:eastAsia="Yu Mincho"/>
                <w:sz w:val="18"/>
                <w:szCs w:val="18"/>
                <w:highlight w:val="none"/>
              </w:rPr>
              <w:t>SS-RSRQ intra-frequency case measurement accuracy with FR1 serving cell and FR1 target cell</w:t>
            </w:r>
          </w:p>
        </w:tc>
        <w:tc>
          <w:tcPr>
            <w:tcW w:w="1300" w:type="dxa"/>
            <w:vAlign w:val="center"/>
          </w:tcPr>
          <w:p>
            <w:pPr>
              <w:rPr>
                <w:rFonts w:eastAsia="Yu Mincho"/>
                <w:sz w:val="18"/>
                <w:szCs w:val="18"/>
                <w:highlight w:val="none"/>
              </w:rPr>
            </w:pPr>
            <w:r>
              <w:rPr>
                <w:rFonts w:hint="eastAsia" w:eastAsia="Yu Mincho"/>
                <w:sz w:val="18"/>
                <w:szCs w:val="18"/>
                <w:highlight w:val="none"/>
              </w:rPr>
              <w:t>ATG 6-3</w:t>
            </w:r>
          </w:p>
        </w:tc>
        <w:tc>
          <w:tcPr>
            <w:tcW w:w="130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220" w:type="dxa"/>
            <w:vAlign w:val="center"/>
          </w:tcPr>
          <w:p>
            <w:pPr>
              <w:rPr>
                <w:rFonts w:eastAsia="Yu Mincho"/>
                <w:sz w:val="18"/>
                <w:szCs w:val="18"/>
                <w:highlight w:val="none"/>
              </w:rPr>
            </w:pPr>
            <w:r>
              <w:rPr>
                <w:rFonts w:hint="eastAsia" w:eastAsia="Yu Mincho"/>
                <w:sz w:val="18"/>
                <w:szCs w:val="18"/>
                <w:highlight w:val="none"/>
              </w:rPr>
              <w:t>SS-RSRQ inter-frequency case measurement accuracy with FR1 serving cell and FR1 target cell</w:t>
            </w:r>
          </w:p>
        </w:tc>
        <w:tc>
          <w:tcPr>
            <w:tcW w:w="1300" w:type="dxa"/>
            <w:vAlign w:val="center"/>
          </w:tcPr>
          <w:p>
            <w:pPr>
              <w:rPr>
                <w:rFonts w:eastAsia="Yu Mincho"/>
                <w:sz w:val="18"/>
                <w:szCs w:val="18"/>
                <w:highlight w:val="none"/>
              </w:rPr>
            </w:pPr>
            <w:r>
              <w:rPr>
                <w:rFonts w:hint="eastAsia" w:eastAsia="Yu Mincho"/>
                <w:sz w:val="18"/>
                <w:szCs w:val="18"/>
                <w:highlight w:val="none"/>
              </w:rPr>
              <w:t>ATG 6-4</w:t>
            </w:r>
          </w:p>
        </w:tc>
        <w:tc>
          <w:tcPr>
            <w:tcW w:w="130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highlight w:val="none"/>
              </w:rPr>
            </w:pPr>
            <w:r>
              <w:rPr>
                <w:rFonts w:hint="eastAsia" w:eastAsia="Yu Mincho"/>
                <w:sz w:val="18"/>
                <w:szCs w:val="18"/>
                <w:highlight w:val="none"/>
              </w:rPr>
              <w:t>SS-SINR intra-frequency case measurement accuracy with FR1 serving cell and FR1 target cell</w:t>
            </w:r>
          </w:p>
        </w:tc>
        <w:tc>
          <w:tcPr>
            <w:tcW w:w="1300" w:type="dxa"/>
            <w:vAlign w:val="center"/>
          </w:tcPr>
          <w:p>
            <w:pPr>
              <w:rPr>
                <w:rFonts w:eastAsia="Yu Mincho"/>
                <w:sz w:val="18"/>
                <w:szCs w:val="18"/>
                <w:highlight w:val="none"/>
              </w:rPr>
            </w:pPr>
            <w:r>
              <w:rPr>
                <w:rFonts w:hint="eastAsia" w:eastAsia="Yu Mincho"/>
                <w:sz w:val="18"/>
                <w:szCs w:val="18"/>
                <w:highlight w:val="none"/>
              </w:rPr>
              <w:t>ATG 6-5</w:t>
            </w:r>
          </w:p>
        </w:tc>
        <w:tc>
          <w:tcPr>
            <w:tcW w:w="130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highlight w:val="none"/>
              </w:rPr>
            </w:pPr>
            <w:r>
              <w:rPr>
                <w:rFonts w:hint="eastAsia" w:eastAsia="Yu Mincho"/>
                <w:sz w:val="18"/>
                <w:szCs w:val="18"/>
                <w:highlight w:val="none"/>
              </w:rPr>
              <w:t>SS-SINR inter-frequency case measurement accuracy with FR1 serving cell and FR1 target cell</w:t>
            </w:r>
          </w:p>
        </w:tc>
        <w:tc>
          <w:tcPr>
            <w:tcW w:w="1300" w:type="dxa"/>
            <w:vAlign w:val="center"/>
          </w:tcPr>
          <w:p>
            <w:pPr>
              <w:rPr>
                <w:rFonts w:eastAsia="Yu Mincho"/>
                <w:sz w:val="18"/>
                <w:szCs w:val="18"/>
                <w:highlight w:val="none"/>
              </w:rPr>
            </w:pPr>
            <w:r>
              <w:rPr>
                <w:rFonts w:hint="eastAsia" w:eastAsia="Yu Mincho"/>
                <w:sz w:val="18"/>
                <w:szCs w:val="18"/>
                <w:highlight w:val="none"/>
              </w:rPr>
              <w:t>ATG 6-6</w:t>
            </w:r>
          </w:p>
        </w:tc>
        <w:tc>
          <w:tcPr>
            <w:tcW w:w="130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highlight w:val="none"/>
              </w:rPr>
            </w:pPr>
            <w:r>
              <w:rPr>
                <w:rFonts w:hint="eastAsia" w:eastAsia="Yu Mincho"/>
                <w:sz w:val="18"/>
                <w:szCs w:val="18"/>
                <w:highlight w:val="none"/>
              </w:rPr>
              <w:t>L1-RSRP measurement SSB based L1-RSRP measurement</w:t>
            </w:r>
          </w:p>
        </w:tc>
        <w:tc>
          <w:tcPr>
            <w:tcW w:w="1300" w:type="dxa"/>
            <w:vAlign w:val="center"/>
          </w:tcPr>
          <w:p>
            <w:pPr>
              <w:rPr>
                <w:rFonts w:eastAsia="Yu Mincho"/>
                <w:sz w:val="18"/>
                <w:szCs w:val="18"/>
                <w:highlight w:val="none"/>
              </w:rPr>
            </w:pPr>
            <w:r>
              <w:rPr>
                <w:rFonts w:hint="eastAsia" w:eastAsia="Yu Mincho"/>
                <w:sz w:val="18"/>
                <w:szCs w:val="18"/>
                <w:highlight w:val="none"/>
              </w:rPr>
              <w:t>ATG 6-7</w:t>
            </w:r>
          </w:p>
        </w:tc>
        <w:tc>
          <w:tcPr>
            <w:tcW w:w="130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highlight w:val="none"/>
              </w:rPr>
            </w:pPr>
            <w:r>
              <w:rPr>
                <w:rFonts w:hint="eastAsia" w:eastAsia="Yu Mincho"/>
                <w:sz w:val="18"/>
                <w:szCs w:val="18"/>
                <w:highlight w:val="none"/>
              </w:rPr>
              <w:t>L1-RSRP measurement CSI-RS based L1-RSRP measurement on resource set with repetition off</w:t>
            </w:r>
          </w:p>
        </w:tc>
        <w:tc>
          <w:tcPr>
            <w:tcW w:w="1300" w:type="dxa"/>
            <w:vAlign w:val="center"/>
          </w:tcPr>
          <w:p>
            <w:pPr>
              <w:rPr>
                <w:rFonts w:eastAsia="Yu Mincho"/>
                <w:sz w:val="18"/>
                <w:szCs w:val="18"/>
                <w:highlight w:val="none"/>
              </w:rPr>
            </w:pPr>
            <w:r>
              <w:rPr>
                <w:rFonts w:hint="eastAsia" w:eastAsia="Yu Mincho"/>
                <w:sz w:val="18"/>
                <w:szCs w:val="18"/>
                <w:highlight w:val="none"/>
              </w:rPr>
              <w:t>ATG 6-8</w:t>
            </w:r>
          </w:p>
        </w:tc>
        <w:tc>
          <w:tcPr>
            <w:tcW w:w="130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highlight w:val="none"/>
              </w:rPr>
            </w:pPr>
            <w:r>
              <w:rPr>
                <w:rFonts w:hint="eastAsia" w:eastAsia="Yu Mincho"/>
                <w:sz w:val="18"/>
                <w:szCs w:val="18"/>
                <w:highlight w:val="none"/>
              </w:rPr>
              <w:t>L1-SINR measurement with CSI-RS based CMR and no dedicated IMR configured and CSI-RS resource set with repetition off</w:t>
            </w:r>
          </w:p>
        </w:tc>
        <w:tc>
          <w:tcPr>
            <w:tcW w:w="1300" w:type="dxa"/>
            <w:vAlign w:val="center"/>
          </w:tcPr>
          <w:p>
            <w:pPr>
              <w:rPr>
                <w:rFonts w:eastAsia="Yu Mincho"/>
                <w:sz w:val="18"/>
                <w:szCs w:val="18"/>
                <w:highlight w:val="none"/>
              </w:rPr>
            </w:pPr>
            <w:r>
              <w:rPr>
                <w:rFonts w:hint="eastAsia" w:eastAsia="Yu Mincho"/>
                <w:sz w:val="18"/>
                <w:szCs w:val="18"/>
                <w:highlight w:val="none"/>
              </w:rPr>
              <w:t>ATG 6-9</w:t>
            </w:r>
          </w:p>
        </w:tc>
        <w:tc>
          <w:tcPr>
            <w:tcW w:w="130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highlight w:val="none"/>
              </w:rPr>
            </w:pPr>
            <w:r>
              <w:rPr>
                <w:rFonts w:hint="eastAsia" w:eastAsia="Yu Mincho"/>
                <w:sz w:val="18"/>
                <w:szCs w:val="18"/>
                <w:highlight w:val="none"/>
              </w:rPr>
              <w:t>L1-SINR measurement with SSB based CMR and dedicated IMR</w:t>
            </w:r>
          </w:p>
        </w:tc>
        <w:tc>
          <w:tcPr>
            <w:tcW w:w="1300" w:type="dxa"/>
            <w:vAlign w:val="center"/>
          </w:tcPr>
          <w:p>
            <w:pPr>
              <w:rPr>
                <w:rFonts w:eastAsia="Yu Mincho"/>
                <w:sz w:val="18"/>
                <w:szCs w:val="18"/>
                <w:highlight w:val="none"/>
              </w:rPr>
            </w:pPr>
            <w:r>
              <w:rPr>
                <w:rFonts w:hint="eastAsia" w:eastAsia="Yu Mincho"/>
                <w:sz w:val="18"/>
                <w:szCs w:val="18"/>
                <w:highlight w:val="none"/>
              </w:rPr>
              <w:t>ATG 6-10</w:t>
            </w:r>
          </w:p>
        </w:tc>
        <w:tc>
          <w:tcPr>
            <w:tcW w:w="130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highlight w:val="none"/>
              </w:rPr>
            </w:pPr>
            <w:r>
              <w:rPr>
                <w:rFonts w:hint="eastAsia" w:eastAsia="Yu Mincho"/>
                <w:sz w:val="18"/>
                <w:szCs w:val="18"/>
                <w:highlight w:val="none"/>
              </w:rPr>
              <w:t>L1-SINR measurement with CSI-RS based CMR and dedicated IMR</w:t>
            </w:r>
          </w:p>
        </w:tc>
        <w:tc>
          <w:tcPr>
            <w:tcW w:w="1300" w:type="dxa"/>
            <w:vAlign w:val="center"/>
          </w:tcPr>
          <w:p>
            <w:pPr>
              <w:rPr>
                <w:rFonts w:eastAsia="Yu Mincho"/>
                <w:sz w:val="18"/>
                <w:szCs w:val="18"/>
                <w:highlight w:val="none"/>
              </w:rPr>
            </w:pPr>
            <w:r>
              <w:rPr>
                <w:rFonts w:hint="eastAsia" w:eastAsia="Yu Mincho"/>
                <w:sz w:val="18"/>
                <w:szCs w:val="18"/>
                <w:highlight w:val="none"/>
              </w:rPr>
              <w:t>ATG 6-11</w:t>
            </w:r>
          </w:p>
        </w:tc>
        <w:tc>
          <w:tcPr>
            <w:tcW w:w="130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highlight w:val="none"/>
              </w:rPr>
            </w:pPr>
            <w:r>
              <w:rPr>
                <w:rFonts w:hint="eastAsia" w:eastAsia="Yu Mincho"/>
                <w:sz w:val="18"/>
                <w:szCs w:val="18"/>
                <w:highlight w:val="none"/>
              </w:rPr>
              <w:t>CSI-RSRP intra-frequency case measurement accuracy with FR1 serving cell and FR1 target cell</w:t>
            </w:r>
          </w:p>
        </w:tc>
        <w:tc>
          <w:tcPr>
            <w:tcW w:w="1300" w:type="dxa"/>
            <w:vAlign w:val="center"/>
          </w:tcPr>
          <w:p>
            <w:pPr>
              <w:rPr>
                <w:rFonts w:eastAsia="Yu Mincho"/>
                <w:sz w:val="18"/>
                <w:szCs w:val="18"/>
                <w:highlight w:val="none"/>
              </w:rPr>
            </w:pPr>
            <w:r>
              <w:rPr>
                <w:rFonts w:hint="eastAsia" w:eastAsia="Yu Mincho"/>
                <w:sz w:val="18"/>
                <w:szCs w:val="18"/>
                <w:highlight w:val="none"/>
              </w:rPr>
              <w:t>ATG 6-12</w:t>
            </w:r>
          </w:p>
        </w:tc>
        <w:tc>
          <w:tcPr>
            <w:tcW w:w="130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highlight w:val="none"/>
              </w:rPr>
            </w:pPr>
            <w:r>
              <w:rPr>
                <w:rFonts w:hint="eastAsia" w:eastAsia="Yu Mincho"/>
                <w:sz w:val="18"/>
                <w:szCs w:val="18"/>
                <w:highlight w:val="none"/>
              </w:rPr>
              <w:t>CSI-RSRP inter-frequency case measurement accuracy with FR1 serving cell and FR1 target cell</w:t>
            </w:r>
          </w:p>
        </w:tc>
        <w:tc>
          <w:tcPr>
            <w:tcW w:w="1300" w:type="dxa"/>
            <w:vAlign w:val="center"/>
          </w:tcPr>
          <w:p>
            <w:pPr>
              <w:rPr>
                <w:rFonts w:eastAsia="Yu Mincho"/>
                <w:sz w:val="18"/>
                <w:szCs w:val="18"/>
                <w:highlight w:val="none"/>
              </w:rPr>
            </w:pPr>
            <w:r>
              <w:rPr>
                <w:rFonts w:hint="eastAsia" w:eastAsia="Yu Mincho"/>
                <w:sz w:val="18"/>
                <w:szCs w:val="18"/>
                <w:highlight w:val="none"/>
              </w:rPr>
              <w:t>ATG 6-13</w:t>
            </w:r>
          </w:p>
        </w:tc>
        <w:tc>
          <w:tcPr>
            <w:tcW w:w="130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highlight w:val="none"/>
              </w:rPr>
            </w:pPr>
            <w:r>
              <w:rPr>
                <w:rFonts w:hint="eastAsia" w:eastAsia="Yu Mincho"/>
                <w:sz w:val="18"/>
                <w:szCs w:val="18"/>
                <w:highlight w:val="none"/>
              </w:rPr>
              <w:t>CSI-RSRQ Intra-frequency measurement accuracy with FR1 serving cell and FR1 target cell</w:t>
            </w:r>
          </w:p>
        </w:tc>
        <w:tc>
          <w:tcPr>
            <w:tcW w:w="1300" w:type="dxa"/>
            <w:vAlign w:val="center"/>
          </w:tcPr>
          <w:p>
            <w:pPr>
              <w:rPr>
                <w:rFonts w:eastAsia="Yu Mincho"/>
                <w:sz w:val="18"/>
                <w:szCs w:val="18"/>
                <w:highlight w:val="none"/>
              </w:rPr>
            </w:pPr>
            <w:r>
              <w:rPr>
                <w:rFonts w:hint="eastAsia" w:eastAsia="Yu Mincho"/>
                <w:sz w:val="18"/>
                <w:szCs w:val="18"/>
                <w:highlight w:val="none"/>
              </w:rPr>
              <w:t>ATG 6-14</w:t>
            </w:r>
          </w:p>
        </w:tc>
        <w:tc>
          <w:tcPr>
            <w:tcW w:w="130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highlight w:val="none"/>
              </w:rPr>
            </w:pPr>
            <w:r>
              <w:rPr>
                <w:rFonts w:hint="eastAsia" w:eastAsia="Yu Mincho"/>
                <w:sz w:val="18"/>
                <w:szCs w:val="18"/>
                <w:highlight w:val="none"/>
              </w:rPr>
              <w:t>CSI-RSRQ Inter-frequency measurement accuracy with FR1 serving cell and FR1 target cell</w:t>
            </w:r>
          </w:p>
        </w:tc>
        <w:tc>
          <w:tcPr>
            <w:tcW w:w="1300" w:type="dxa"/>
            <w:vAlign w:val="center"/>
          </w:tcPr>
          <w:p>
            <w:pPr>
              <w:rPr>
                <w:rFonts w:eastAsia="Yu Mincho"/>
                <w:sz w:val="18"/>
                <w:szCs w:val="18"/>
                <w:highlight w:val="none"/>
              </w:rPr>
            </w:pPr>
            <w:r>
              <w:rPr>
                <w:rFonts w:hint="eastAsia" w:eastAsia="Yu Mincho"/>
                <w:sz w:val="18"/>
                <w:szCs w:val="18"/>
                <w:highlight w:val="none"/>
              </w:rPr>
              <w:t>ATG 6-15</w:t>
            </w:r>
          </w:p>
        </w:tc>
        <w:tc>
          <w:tcPr>
            <w:tcW w:w="130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highlight w:val="none"/>
              </w:rPr>
            </w:pPr>
            <w:r>
              <w:rPr>
                <w:rFonts w:hint="eastAsia" w:eastAsia="Yu Mincho"/>
                <w:sz w:val="18"/>
                <w:szCs w:val="18"/>
                <w:highlight w:val="none"/>
              </w:rPr>
              <w:t>CSI-SINR intra-frequency measurement accuracy with FR1 serving cell and FR1 target cell</w:t>
            </w:r>
          </w:p>
        </w:tc>
        <w:tc>
          <w:tcPr>
            <w:tcW w:w="1300" w:type="dxa"/>
            <w:vAlign w:val="center"/>
          </w:tcPr>
          <w:p>
            <w:pPr>
              <w:rPr>
                <w:rFonts w:eastAsia="Yu Mincho"/>
                <w:sz w:val="18"/>
                <w:szCs w:val="18"/>
                <w:highlight w:val="none"/>
              </w:rPr>
            </w:pPr>
            <w:r>
              <w:rPr>
                <w:rFonts w:hint="eastAsia" w:eastAsia="Yu Mincho"/>
                <w:sz w:val="18"/>
                <w:szCs w:val="18"/>
                <w:highlight w:val="none"/>
              </w:rPr>
              <w:t>ATG 6-16</w:t>
            </w:r>
          </w:p>
        </w:tc>
        <w:tc>
          <w:tcPr>
            <w:tcW w:w="1300" w:type="dxa"/>
            <w:vMerge w:val="continue"/>
            <w:vAlign w:val="center"/>
          </w:tcPr>
          <w:p>
            <w:pPr>
              <w:rPr>
                <w:rFonts w:eastAsia="Yu Minch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rPr>
                <w:rFonts w:eastAsia="Yu Mincho"/>
                <w:sz w:val="18"/>
                <w:szCs w:val="18"/>
                <w:highlight w:val="none"/>
              </w:rPr>
            </w:pPr>
            <w:r>
              <w:rPr>
                <w:rFonts w:hint="eastAsia" w:eastAsia="Yu Mincho"/>
                <w:sz w:val="18"/>
                <w:szCs w:val="18"/>
                <w:highlight w:val="none"/>
              </w:rPr>
              <w:t>CSI-SINR Inter-frequency measurement accuracy with FR1 serving cell and FR1 target cell</w:t>
            </w:r>
          </w:p>
        </w:tc>
        <w:tc>
          <w:tcPr>
            <w:tcW w:w="1300" w:type="dxa"/>
            <w:vAlign w:val="center"/>
          </w:tcPr>
          <w:p>
            <w:pPr>
              <w:rPr>
                <w:rFonts w:eastAsia="Yu Mincho"/>
                <w:sz w:val="18"/>
                <w:szCs w:val="18"/>
                <w:highlight w:val="none"/>
              </w:rPr>
            </w:pPr>
            <w:r>
              <w:rPr>
                <w:rFonts w:hint="eastAsia" w:eastAsia="Yu Mincho"/>
                <w:sz w:val="18"/>
                <w:szCs w:val="18"/>
                <w:highlight w:val="none"/>
              </w:rPr>
              <w:t>ATG 6-17</w:t>
            </w:r>
          </w:p>
        </w:tc>
        <w:tc>
          <w:tcPr>
            <w:tcW w:w="1300" w:type="dxa"/>
            <w:vMerge w:val="continue"/>
            <w:vAlign w:val="center"/>
          </w:tcPr>
          <w:p>
            <w:pPr>
              <w:rPr>
                <w:rFonts w:eastAsia="Yu Mincho"/>
                <w:sz w:val="18"/>
                <w:szCs w:val="18"/>
                <w:highlight w:val="none"/>
              </w:rPr>
            </w:pPr>
          </w:p>
        </w:tc>
      </w:tr>
    </w:tbl>
    <w:p>
      <w:pPr>
        <w:rPr>
          <w:highlight w:val="none"/>
        </w:rPr>
      </w:pPr>
    </w:p>
    <w:p>
      <w:pPr>
        <w:rPr>
          <w:rFonts w:hint="default" w:eastAsia="宋体"/>
          <w:b/>
          <w:highlight w:val="none"/>
          <w:u w:val="single"/>
          <w:lang w:val="en-US" w:eastAsia="zh-CN"/>
        </w:rPr>
      </w:pPr>
    </w:p>
    <w:p>
      <w:pPr>
        <w:rPr>
          <w:b/>
          <w:highlight w:val="none"/>
          <w:u w:val="single"/>
          <w:lang w:eastAsia="ko-KR"/>
        </w:rPr>
      </w:pPr>
    </w:p>
    <w:p>
      <w:pPr>
        <w:rPr>
          <w:rFonts w:hint="default"/>
          <w:b/>
          <w:sz w:val="20"/>
          <w:szCs w:val="20"/>
          <w:highlight w:val="none"/>
          <w:u w:val="single"/>
          <w:lang w:val="en-US" w:eastAsia="zh-CN"/>
        </w:rPr>
      </w:pPr>
      <w:r>
        <w:rPr>
          <w:b/>
          <w:sz w:val="20"/>
          <w:szCs w:val="20"/>
          <w:highlight w:val="none"/>
          <w:u w:val="single"/>
          <w:lang w:eastAsia="ko-KR"/>
        </w:rPr>
        <w:t xml:space="preserve">Issue </w:t>
      </w:r>
      <w:r>
        <w:rPr>
          <w:rFonts w:hint="eastAsia"/>
          <w:b/>
          <w:sz w:val="20"/>
          <w:szCs w:val="20"/>
          <w:highlight w:val="none"/>
          <w:u w:val="single"/>
        </w:rPr>
        <w:t>2-</w:t>
      </w:r>
      <w:r>
        <w:rPr>
          <w:rFonts w:hint="eastAsia"/>
          <w:b/>
          <w:sz w:val="20"/>
          <w:szCs w:val="20"/>
          <w:highlight w:val="none"/>
          <w:u w:val="single"/>
          <w:lang w:val="en-US" w:eastAsia="zh-CN"/>
        </w:rPr>
        <w:t>12</w:t>
      </w:r>
      <w:r>
        <w:rPr>
          <w:b/>
          <w:sz w:val="20"/>
          <w:szCs w:val="20"/>
          <w:highlight w:val="none"/>
          <w:u w:val="single"/>
          <w:lang w:eastAsia="ko-KR"/>
        </w:rPr>
        <w:t>:</w:t>
      </w:r>
      <w:r>
        <w:rPr>
          <w:rFonts w:hint="eastAsia"/>
          <w:b/>
          <w:sz w:val="20"/>
          <w:szCs w:val="20"/>
          <w:highlight w:val="none"/>
          <w:u w:val="single"/>
          <w:lang w:val="en-US" w:eastAsia="zh-CN"/>
        </w:rPr>
        <w:t xml:space="preserve"> Test configuration</w:t>
      </w:r>
    </w:p>
    <w:p>
      <w:pPr>
        <w:spacing w:after="120"/>
        <w:rPr>
          <w:rFonts w:hint="eastAsia"/>
          <w:sz w:val="21"/>
          <w:szCs w:val="21"/>
          <w:highlight w:val="none"/>
          <w:lang w:val="en-US" w:eastAsia="zh-CN"/>
        </w:rPr>
      </w:pPr>
      <w:r>
        <w:rPr>
          <w:rFonts w:hint="eastAsia"/>
          <w:sz w:val="21"/>
          <w:szCs w:val="21"/>
          <w:highlight w:val="none"/>
          <w:lang w:val="en-US" w:eastAsia="zh-CN"/>
        </w:rPr>
        <w:t>Agreement:</w:t>
      </w:r>
    </w:p>
    <w:p>
      <w:pPr>
        <w:numPr>
          <w:ilvl w:val="2"/>
          <w:numId w:val="4"/>
        </w:numPr>
        <w:autoSpaceDN w:val="0"/>
        <w:spacing w:after="120"/>
        <w:ind w:left="1860"/>
        <w:rPr>
          <w:rFonts w:hint="eastAsia"/>
          <w:sz w:val="21"/>
          <w:szCs w:val="21"/>
          <w:highlight w:val="none"/>
          <w:lang w:val="en-US" w:eastAsia="zh-CN"/>
        </w:rPr>
      </w:pPr>
      <w:r>
        <w:rPr>
          <w:rFonts w:hint="eastAsia"/>
          <w:sz w:val="21"/>
          <w:szCs w:val="21"/>
          <w:highlight w:val="none"/>
          <w:lang w:val="en-US" w:eastAsia="zh-CN"/>
        </w:rPr>
        <w:t>Introduce the test configuration 15kHz/10MHz TDD to the ATG test cases</w:t>
      </w:r>
    </w:p>
    <w:p>
      <w:pPr>
        <w:numPr>
          <w:ilvl w:val="3"/>
          <w:numId w:val="4"/>
        </w:numPr>
        <w:autoSpaceDN w:val="0"/>
        <w:spacing w:after="120"/>
        <w:ind w:left="2280" w:leftChars="0"/>
        <w:rPr>
          <w:rFonts w:hint="eastAsia"/>
          <w:sz w:val="21"/>
          <w:szCs w:val="21"/>
          <w:highlight w:val="none"/>
          <w:lang w:val="en-US" w:eastAsia="zh-CN"/>
        </w:rPr>
      </w:pPr>
      <w:r>
        <w:rPr>
          <w:rFonts w:hint="eastAsia"/>
          <w:sz w:val="21"/>
          <w:szCs w:val="21"/>
          <w:highlight w:val="none"/>
          <w:lang w:val="en-US" w:eastAsia="zh-CN"/>
        </w:rPr>
        <w:t>If legacy TN test case don</w:t>
      </w:r>
      <w:r>
        <w:rPr>
          <w:rFonts w:hint="default"/>
          <w:sz w:val="21"/>
          <w:szCs w:val="21"/>
          <w:highlight w:val="none"/>
          <w:lang w:val="en-US" w:eastAsia="zh-CN"/>
        </w:rPr>
        <w:t>’</w:t>
      </w:r>
      <w:r>
        <w:rPr>
          <w:rFonts w:hint="eastAsia"/>
          <w:sz w:val="21"/>
          <w:szCs w:val="21"/>
          <w:highlight w:val="none"/>
          <w:lang w:val="en-US" w:eastAsia="zh-CN"/>
        </w:rPr>
        <w:t>t have this test configuration, then no need to introduce it in the corresponding ATG test case.</w:t>
      </w:r>
    </w:p>
    <w:p>
      <w:pPr>
        <w:pStyle w:val="74"/>
        <w:numPr>
          <w:ilvl w:val="0"/>
          <w:numId w:val="0"/>
        </w:numPr>
        <w:rPr>
          <w:rFonts w:eastAsia="宋体"/>
          <w:color w:val="auto"/>
          <w:sz w:val="20"/>
          <w:szCs w:val="20"/>
          <w:highlight w:val="none"/>
        </w:rPr>
      </w:pPr>
    </w:p>
    <w:sectPr>
      <w:pgSz w:w="16838" w:h="23811"/>
      <w:pgMar w:top="1440" w:right="98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Yu Mincho Light">
    <w:altName w:val="MS Mincho"/>
    <w:panose1 w:val="00000000000000000000"/>
    <w:charset w:val="80"/>
    <w:family w:val="roman"/>
    <w:pitch w:val="default"/>
    <w:sig w:usb0="00000000" w:usb1="00000000" w:usb2="00000012" w:usb3="00000000" w:csb0="0002009F" w:csb1="00000000"/>
  </w:font>
  <w:font w:name="Yu Mincho">
    <w:altName w:val="MS Mincho"/>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rPr>
        <w:rFonts w:hint="eastAsia"/>
        <w:sz w:val="24"/>
        <w:szCs w:val="22"/>
        <w:lang w:val="en-US"/>
      </w:rPr>
    </w:lvl>
    <w:lvl w:ilvl="2" w:tentative="0">
      <w:start w:val="1"/>
      <w:numFmt w:val="decimal"/>
      <w:lvlText w:val="%1.%2.%3."/>
      <w:lvlJc w:val="left"/>
      <w:pPr>
        <w:ind w:left="709" w:hanging="709"/>
      </w:pPr>
      <w:rPr>
        <w:rFonts w:hint="eastAsia"/>
        <w:lang w:val="en-US"/>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6CDA2FB2"/>
    <w:multiLevelType w:val="multilevel"/>
    <w:tmpl w:val="6CDA2FB2"/>
    <w:lvl w:ilvl="0" w:tentative="0">
      <w:start w:val="1"/>
      <w:numFmt w:val="decimal"/>
      <w:pStyle w:val="52"/>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3">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hyphenationZone w:val="425"/>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014"/>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CD4"/>
    <w:rsid w:val="00021E70"/>
    <w:rsid w:val="00021FAA"/>
    <w:rsid w:val="00021FBB"/>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0FA4"/>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6B76"/>
    <w:rsid w:val="00037604"/>
    <w:rsid w:val="00037AE0"/>
    <w:rsid w:val="00040426"/>
    <w:rsid w:val="00040567"/>
    <w:rsid w:val="000405C5"/>
    <w:rsid w:val="00040928"/>
    <w:rsid w:val="00040FA1"/>
    <w:rsid w:val="000418AD"/>
    <w:rsid w:val="0004204F"/>
    <w:rsid w:val="000426B6"/>
    <w:rsid w:val="00043017"/>
    <w:rsid w:val="00043405"/>
    <w:rsid w:val="00043582"/>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B63"/>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063"/>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1A8"/>
    <w:rsid w:val="000955A5"/>
    <w:rsid w:val="0009562E"/>
    <w:rsid w:val="000958F3"/>
    <w:rsid w:val="00095BAA"/>
    <w:rsid w:val="00095CFB"/>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4F"/>
    <w:rsid w:val="000B31CC"/>
    <w:rsid w:val="000B31DC"/>
    <w:rsid w:val="000B397D"/>
    <w:rsid w:val="000B3B83"/>
    <w:rsid w:val="000B4172"/>
    <w:rsid w:val="000B49FC"/>
    <w:rsid w:val="000B5617"/>
    <w:rsid w:val="000B567F"/>
    <w:rsid w:val="000B576E"/>
    <w:rsid w:val="000B58DA"/>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0F7FA8"/>
    <w:rsid w:val="001003DA"/>
    <w:rsid w:val="00100DC7"/>
    <w:rsid w:val="00101852"/>
    <w:rsid w:val="00101941"/>
    <w:rsid w:val="00101971"/>
    <w:rsid w:val="00102417"/>
    <w:rsid w:val="0010247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56D"/>
    <w:rsid w:val="00125C8E"/>
    <w:rsid w:val="00125F9A"/>
    <w:rsid w:val="00126513"/>
    <w:rsid w:val="001268A6"/>
    <w:rsid w:val="0012701D"/>
    <w:rsid w:val="00127131"/>
    <w:rsid w:val="001271AB"/>
    <w:rsid w:val="001272B8"/>
    <w:rsid w:val="00127534"/>
    <w:rsid w:val="001276BF"/>
    <w:rsid w:val="001277CC"/>
    <w:rsid w:val="00130076"/>
    <w:rsid w:val="0013080B"/>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0F"/>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2F7"/>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3C75"/>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933"/>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A2"/>
    <w:rsid w:val="001A3EF5"/>
    <w:rsid w:val="001A57E9"/>
    <w:rsid w:val="001A5987"/>
    <w:rsid w:val="001A5E11"/>
    <w:rsid w:val="001A65D8"/>
    <w:rsid w:val="001A68C5"/>
    <w:rsid w:val="001A725B"/>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3B1"/>
    <w:rsid w:val="001E6BEA"/>
    <w:rsid w:val="001E70FF"/>
    <w:rsid w:val="001E7B45"/>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445"/>
    <w:rsid w:val="001F55EA"/>
    <w:rsid w:val="001F56A4"/>
    <w:rsid w:val="001F5764"/>
    <w:rsid w:val="001F6523"/>
    <w:rsid w:val="001F68C3"/>
    <w:rsid w:val="001F77DB"/>
    <w:rsid w:val="001F784A"/>
    <w:rsid w:val="00200159"/>
    <w:rsid w:val="002002E7"/>
    <w:rsid w:val="002004FC"/>
    <w:rsid w:val="00200616"/>
    <w:rsid w:val="0020087D"/>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A5E"/>
    <w:rsid w:val="00217BBA"/>
    <w:rsid w:val="00217D2B"/>
    <w:rsid w:val="00217D48"/>
    <w:rsid w:val="002204B5"/>
    <w:rsid w:val="00220AA8"/>
    <w:rsid w:val="00220D39"/>
    <w:rsid w:val="0022136E"/>
    <w:rsid w:val="00221A76"/>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229"/>
    <w:rsid w:val="002512F8"/>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C83"/>
    <w:rsid w:val="00265E19"/>
    <w:rsid w:val="00265FA1"/>
    <w:rsid w:val="00266055"/>
    <w:rsid w:val="0026608E"/>
    <w:rsid w:val="002667ED"/>
    <w:rsid w:val="00267113"/>
    <w:rsid w:val="00267612"/>
    <w:rsid w:val="00267AE3"/>
    <w:rsid w:val="00267F29"/>
    <w:rsid w:val="002700F5"/>
    <w:rsid w:val="00270E9A"/>
    <w:rsid w:val="002717B6"/>
    <w:rsid w:val="00271DD9"/>
    <w:rsid w:val="00271FF5"/>
    <w:rsid w:val="00273377"/>
    <w:rsid w:val="00273DAD"/>
    <w:rsid w:val="00274B8F"/>
    <w:rsid w:val="00274D01"/>
    <w:rsid w:val="00275168"/>
    <w:rsid w:val="00275EB0"/>
    <w:rsid w:val="00276300"/>
    <w:rsid w:val="0027678D"/>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970"/>
    <w:rsid w:val="00294A12"/>
    <w:rsid w:val="00294A34"/>
    <w:rsid w:val="00295160"/>
    <w:rsid w:val="00295CDB"/>
    <w:rsid w:val="0029700E"/>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321"/>
    <w:rsid w:val="002C240B"/>
    <w:rsid w:val="002C2F31"/>
    <w:rsid w:val="002C39C5"/>
    <w:rsid w:val="002C3A32"/>
    <w:rsid w:val="002C438E"/>
    <w:rsid w:val="002C4494"/>
    <w:rsid w:val="002C4C78"/>
    <w:rsid w:val="002C4ECC"/>
    <w:rsid w:val="002C4F29"/>
    <w:rsid w:val="002C589A"/>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171"/>
    <w:rsid w:val="002D46AD"/>
    <w:rsid w:val="002D4B3D"/>
    <w:rsid w:val="002D54FA"/>
    <w:rsid w:val="002D5775"/>
    <w:rsid w:val="002D58FE"/>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DF2"/>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D63"/>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E93"/>
    <w:rsid w:val="00314F10"/>
    <w:rsid w:val="00315909"/>
    <w:rsid w:val="00315A67"/>
    <w:rsid w:val="00316BEC"/>
    <w:rsid w:val="0031733B"/>
    <w:rsid w:val="003174A7"/>
    <w:rsid w:val="003205BC"/>
    <w:rsid w:val="003206DA"/>
    <w:rsid w:val="0032144C"/>
    <w:rsid w:val="003216B6"/>
    <w:rsid w:val="00321BFC"/>
    <w:rsid w:val="003226D9"/>
    <w:rsid w:val="00322921"/>
    <w:rsid w:val="00322B2B"/>
    <w:rsid w:val="00323897"/>
    <w:rsid w:val="003240FC"/>
    <w:rsid w:val="00324291"/>
    <w:rsid w:val="0032463C"/>
    <w:rsid w:val="00325098"/>
    <w:rsid w:val="003254CD"/>
    <w:rsid w:val="00325CF7"/>
    <w:rsid w:val="00326321"/>
    <w:rsid w:val="00326836"/>
    <w:rsid w:val="00326AE6"/>
    <w:rsid w:val="00326C60"/>
    <w:rsid w:val="00326F0C"/>
    <w:rsid w:val="00327808"/>
    <w:rsid w:val="0033044F"/>
    <w:rsid w:val="00330770"/>
    <w:rsid w:val="00330917"/>
    <w:rsid w:val="00330C0C"/>
    <w:rsid w:val="00330D17"/>
    <w:rsid w:val="00331078"/>
    <w:rsid w:val="003312F7"/>
    <w:rsid w:val="00331350"/>
    <w:rsid w:val="003313A7"/>
    <w:rsid w:val="0033193C"/>
    <w:rsid w:val="00331E9C"/>
    <w:rsid w:val="0033255F"/>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50B"/>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182"/>
    <w:rsid w:val="00363CCE"/>
    <w:rsid w:val="0036407F"/>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876BF"/>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2EC"/>
    <w:rsid w:val="003973E9"/>
    <w:rsid w:val="003977B1"/>
    <w:rsid w:val="00397D15"/>
    <w:rsid w:val="003A09AB"/>
    <w:rsid w:val="003A0B30"/>
    <w:rsid w:val="003A0CEA"/>
    <w:rsid w:val="003A1253"/>
    <w:rsid w:val="003A189B"/>
    <w:rsid w:val="003A1AC3"/>
    <w:rsid w:val="003A1D28"/>
    <w:rsid w:val="003A22F7"/>
    <w:rsid w:val="003A270C"/>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1E3F"/>
    <w:rsid w:val="003D2868"/>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D7BDB"/>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4D1"/>
    <w:rsid w:val="003E56D2"/>
    <w:rsid w:val="003E5967"/>
    <w:rsid w:val="003E615C"/>
    <w:rsid w:val="003E62ED"/>
    <w:rsid w:val="003E6DF0"/>
    <w:rsid w:val="003E7DD4"/>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1D8"/>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2F9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618"/>
    <w:rsid w:val="00460B70"/>
    <w:rsid w:val="00460DE6"/>
    <w:rsid w:val="00461052"/>
    <w:rsid w:val="00461397"/>
    <w:rsid w:val="00462AB7"/>
    <w:rsid w:val="00463249"/>
    <w:rsid w:val="00463511"/>
    <w:rsid w:val="00463C8A"/>
    <w:rsid w:val="004644F3"/>
    <w:rsid w:val="004649F0"/>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363"/>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C92"/>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705"/>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1F98"/>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57D"/>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5C44"/>
    <w:rsid w:val="004F6F4E"/>
    <w:rsid w:val="004F737B"/>
    <w:rsid w:val="004F7ADC"/>
    <w:rsid w:val="004F7C2F"/>
    <w:rsid w:val="004F7E22"/>
    <w:rsid w:val="00500078"/>
    <w:rsid w:val="005000B5"/>
    <w:rsid w:val="005006BD"/>
    <w:rsid w:val="00500A00"/>
    <w:rsid w:val="00501433"/>
    <w:rsid w:val="005015F2"/>
    <w:rsid w:val="005019CF"/>
    <w:rsid w:val="005022B1"/>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1D0"/>
    <w:rsid w:val="0051071A"/>
    <w:rsid w:val="00510A01"/>
    <w:rsid w:val="00510D0D"/>
    <w:rsid w:val="00510DDC"/>
    <w:rsid w:val="00510ECB"/>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4A3"/>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29"/>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2F4B"/>
    <w:rsid w:val="0057306B"/>
    <w:rsid w:val="005730A1"/>
    <w:rsid w:val="0057499D"/>
    <w:rsid w:val="00574C95"/>
    <w:rsid w:val="00574CC0"/>
    <w:rsid w:val="005752AA"/>
    <w:rsid w:val="005758AA"/>
    <w:rsid w:val="005758CF"/>
    <w:rsid w:val="0057639B"/>
    <w:rsid w:val="0057670C"/>
    <w:rsid w:val="00576963"/>
    <w:rsid w:val="00577968"/>
    <w:rsid w:val="0058068A"/>
    <w:rsid w:val="005807C2"/>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84B"/>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2EAB"/>
    <w:rsid w:val="0059309B"/>
    <w:rsid w:val="005935C5"/>
    <w:rsid w:val="00593988"/>
    <w:rsid w:val="00594241"/>
    <w:rsid w:val="0059438E"/>
    <w:rsid w:val="00594D95"/>
    <w:rsid w:val="005950E5"/>
    <w:rsid w:val="005952DF"/>
    <w:rsid w:val="005957CF"/>
    <w:rsid w:val="005959D6"/>
    <w:rsid w:val="00595E6C"/>
    <w:rsid w:val="00595E7C"/>
    <w:rsid w:val="00596544"/>
    <w:rsid w:val="00596D80"/>
    <w:rsid w:val="00596DE7"/>
    <w:rsid w:val="00597A1C"/>
    <w:rsid w:val="00597A42"/>
    <w:rsid w:val="00597F10"/>
    <w:rsid w:val="005A0015"/>
    <w:rsid w:val="005A005C"/>
    <w:rsid w:val="005A07D5"/>
    <w:rsid w:val="005A09B2"/>
    <w:rsid w:val="005A133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1A78"/>
    <w:rsid w:val="005C27E6"/>
    <w:rsid w:val="005C2A62"/>
    <w:rsid w:val="005C2AEC"/>
    <w:rsid w:val="005C30E4"/>
    <w:rsid w:val="005C36FC"/>
    <w:rsid w:val="005C4601"/>
    <w:rsid w:val="005C4AFF"/>
    <w:rsid w:val="005C4E7C"/>
    <w:rsid w:val="005C5382"/>
    <w:rsid w:val="005C5B41"/>
    <w:rsid w:val="005C5B54"/>
    <w:rsid w:val="005C613A"/>
    <w:rsid w:val="005C6329"/>
    <w:rsid w:val="005C6803"/>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31D"/>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57D"/>
    <w:rsid w:val="005F19EE"/>
    <w:rsid w:val="005F1B59"/>
    <w:rsid w:val="005F1D91"/>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07AE2"/>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1F95"/>
    <w:rsid w:val="006227DD"/>
    <w:rsid w:val="00622EE2"/>
    <w:rsid w:val="00623338"/>
    <w:rsid w:val="0062341A"/>
    <w:rsid w:val="00623B8C"/>
    <w:rsid w:val="00623CA9"/>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465"/>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43D"/>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87DB2"/>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B6D"/>
    <w:rsid w:val="006A6DBB"/>
    <w:rsid w:val="006A7C44"/>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B60"/>
    <w:rsid w:val="006C4D5C"/>
    <w:rsid w:val="006C54CC"/>
    <w:rsid w:val="006C5622"/>
    <w:rsid w:val="006C56DC"/>
    <w:rsid w:val="006C56FE"/>
    <w:rsid w:val="006C5727"/>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0924"/>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4A5"/>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13D"/>
    <w:rsid w:val="0072134D"/>
    <w:rsid w:val="00721862"/>
    <w:rsid w:val="00721F97"/>
    <w:rsid w:val="007220A7"/>
    <w:rsid w:val="00722C59"/>
    <w:rsid w:val="00722D78"/>
    <w:rsid w:val="00723052"/>
    <w:rsid w:val="00723598"/>
    <w:rsid w:val="0072368F"/>
    <w:rsid w:val="00723A4F"/>
    <w:rsid w:val="00723C26"/>
    <w:rsid w:val="0072468C"/>
    <w:rsid w:val="00724712"/>
    <w:rsid w:val="00726826"/>
    <w:rsid w:val="00726ED8"/>
    <w:rsid w:val="00727246"/>
    <w:rsid w:val="00727FF5"/>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8BD"/>
    <w:rsid w:val="00762C33"/>
    <w:rsid w:val="00762C70"/>
    <w:rsid w:val="00763742"/>
    <w:rsid w:val="00763F3D"/>
    <w:rsid w:val="007640C0"/>
    <w:rsid w:val="007645E8"/>
    <w:rsid w:val="007646BE"/>
    <w:rsid w:val="00764BFB"/>
    <w:rsid w:val="00765204"/>
    <w:rsid w:val="00765691"/>
    <w:rsid w:val="007657ED"/>
    <w:rsid w:val="00765E80"/>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26C6"/>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40D"/>
    <w:rsid w:val="0077695A"/>
    <w:rsid w:val="00777D65"/>
    <w:rsid w:val="00780EAB"/>
    <w:rsid w:val="007814F0"/>
    <w:rsid w:val="007816F7"/>
    <w:rsid w:val="00781B73"/>
    <w:rsid w:val="00782279"/>
    <w:rsid w:val="00782393"/>
    <w:rsid w:val="007823B2"/>
    <w:rsid w:val="007828A0"/>
    <w:rsid w:val="007828AD"/>
    <w:rsid w:val="00782A18"/>
    <w:rsid w:val="00782C0F"/>
    <w:rsid w:val="00782EC3"/>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17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576"/>
    <w:rsid w:val="007C3ABD"/>
    <w:rsid w:val="007C3F3E"/>
    <w:rsid w:val="007C481F"/>
    <w:rsid w:val="007C483C"/>
    <w:rsid w:val="007C4DD0"/>
    <w:rsid w:val="007C5255"/>
    <w:rsid w:val="007C531C"/>
    <w:rsid w:val="007C5E5F"/>
    <w:rsid w:val="007C6027"/>
    <w:rsid w:val="007C61E5"/>
    <w:rsid w:val="007C628D"/>
    <w:rsid w:val="007C62B1"/>
    <w:rsid w:val="007C6368"/>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0E10"/>
    <w:rsid w:val="007F0FA7"/>
    <w:rsid w:val="007F1863"/>
    <w:rsid w:val="007F1F61"/>
    <w:rsid w:val="007F2102"/>
    <w:rsid w:val="007F3904"/>
    <w:rsid w:val="007F3F77"/>
    <w:rsid w:val="007F40EA"/>
    <w:rsid w:val="007F44FA"/>
    <w:rsid w:val="007F5085"/>
    <w:rsid w:val="007F5338"/>
    <w:rsid w:val="007F5BC4"/>
    <w:rsid w:val="007F5F8C"/>
    <w:rsid w:val="007F77A8"/>
    <w:rsid w:val="0080047D"/>
    <w:rsid w:val="008016F2"/>
    <w:rsid w:val="00801BA3"/>
    <w:rsid w:val="00802CA1"/>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C0D"/>
    <w:rsid w:val="00814DB3"/>
    <w:rsid w:val="00815041"/>
    <w:rsid w:val="008150C9"/>
    <w:rsid w:val="00815534"/>
    <w:rsid w:val="00815658"/>
    <w:rsid w:val="008157DE"/>
    <w:rsid w:val="00815C3F"/>
    <w:rsid w:val="008166AB"/>
    <w:rsid w:val="008166B5"/>
    <w:rsid w:val="0081671A"/>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5E07"/>
    <w:rsid w:val="00826A48"/>
    <w:rsid w:val="00826E8B"/>
    <w:rsid w:val="008276A0"/>
    <w:rsid w:val="00827827"/>
    <w:rsid w:val="00827DE6"/>
    <w:rsid w:val="00830DB5"/>
    <w:rsid w:val="00830FD9"/>
    <w:rsid w:val="008317D7"/>
    <w:rsid w:val="00831ECF"/>
    <w:rsid w:val="0083266B"/>
    <w:rsid w:val="00832937"/>
    <w:rsid w:val="00833316"/>
    <w:rsid w:val="0083343A"/>
    <w:rsid w:val="0083347F"/>
    <w:rsid w:val="008339F7"/>
    <w:rsid w:val="00833DAD"/>
    <w:rsid w:val="0083429C"/>
    <w:rsid w:val="00834523"/>
    <w:rsid w:val="008347FA"/>
    <w:rsid w:val="00834EC5"/>
    <w:rsid w:val="0083541C"/>
    <w:rsid w:val="008356E3"/>
    <w:rsid w:val="00836181"/>
    <w:rsid w:val="008362DA"/>
    <w:rsid w:val="008363A3"/>
    <w:rsid w:val="008371A1"/>
    <w:rsid w:val="0083788E"/>
    <w:rsid w:val="00837904"/>
    <w:rsid w:val="00837A18"/>
    <w:rsid w:val="00837B88"/>
    <w:rsid w:val="00837D6F"/>
    <w:rsid w:val="00840210"/>
    <w:rsid w:val="00840223"/>
    <w:rsid w:val="0084049E"/>
    <w:rsid w:val="0084142C"/>
    <w:rsid w:val="00841995"/>
    <w:rsid w:val="00841A9C"/>
    <w:rsid w:val="00841F4E"/>
    <w:rsid w:val="008421A5"/>
    <w:rsid w:val="00842901"/>
    <w:rsid w:val="00842A53"/>
    <w:rsid w:val="00843E31"/>
    <w:rsid w:val="008444C6"/>
    <w:rsid w:val="0084482D"/>
    <w:rsid w:val="00844908"/>
    <w:rsid w:val="00845010"/>
    <w:rsid w:val="00845082"/>
    <w:rsid w:val="008455F3"/>
    <w:rsid w:val="00846634"/>
    <w:rsid w:val="008471E0"/>
    <w:rsid w:val="00847276"/>
    <w:rsid w:val="00847E7B"/>
    <w:rsid w:val="008506F4"/>
    <w:rsid w:val="0085071B"/>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42"/>
    <w:rsid w:val="00855852"/>
    <w:rsid w:val="00856555"/>
    <w:rsid w:val="00856804"/>
    <w:rsid w:val="00856AAF"/>
    <w:rsid w:val="00856BC8"/>
    <w:rsid w:val="00856C55"/>
    <w:rsid w:val="00857EC6"/>
    <w:rsid w:val="0086002E"/>
    <w:rsid w:val="0086016A"/>
    <w:rsid w:val="008606DB"/>
    <w:rsid w:val="00860A8A"/>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194"/>
    <w:rsid w:val="00867585"/>
    <w:rsid w:val="00867863"/>
    <w:rsid w:val="00867C02"/>
    <w:rsid w:val="00870F06"/>
    <w:rsid w:val="0087109B"/>
    <w:rsid w:val="008714B4"/>
    <w:rsid w:val="008719C6"/>
    <w:rsid w:val="00871DE9"/>
    <w:rsid w:val="0087248C"/>
    <w:rsid w:val="0087282A"/>
    <w:rsid w:val="0087370B"/>
    <w:rsid w:val="00873FB2"/>
    <w:rsid w:val="0087521A"/>
    <w:rsid w:val="0087566C"/>
    <w:rsid w:val="00875697"/>
    <w:rsid w:val="008757E1"/>
    <w:rsid w:val="00875958"/>
    <w:rsid w:val="008761BF"/>
    <w:rsid w:val="008765DC"/>
    <w:rsid w:val="00876C39"/>
    <w:rsid w:val="00876C5E"/>
    <w:rsid w:val="008775CB"/>
    <w:rsid w:val="0087770A"/>
    <w:rsid w:val="00880095"/>
    <w:rsid w:val="008805DD"/>
    <w:rsid w:val="00880753"/>
    <w:rsid w:val="0088110E"/>
    <w:rsid w:val="00881632"/>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A43"/>
    <w:rsid w:val="008A6B19"/>
    <w:rsid w:val="008A71AC"/>
    <w:rsid w:val="008A722F"/>
    <w:rsid w:val="008A7539"/>
    <w:rsid w:val="008A7CD2"/>
    <w:rsid w:val="008B02CF"/>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6947"/>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96E"/>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BDC"/>
    <w:rsid w:val="008F4CAC"/>
    <w:rsid w:val="008F4F0D"/>
    <w:rsid w:val="008F5377"/>
    <w:rsid w:val="008F55E5"/>
    <w:rsid w:val="008F57DD"/>
    <w:rsid w:val="008F592B"/>
    <w:rsid w:val="008F6374"/>
    <w:rsid w:val="008F691C"/>
    <w:rsid w:val="008F691F"/>
    <w:rsid w:val="008F6C85"/>
    <w:rsid w:val="008F7269"/>
    <w:rsid w:val="008F72BB"/>
    <w:rsid w:val="008F733A"/>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4E64"/>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AA1"/>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22B"/>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582"/>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B0A"/>
    <w:rsid w:val="00963F77"/>
    <w:rsid w:val="0096459E"/>
    <w:rsid w:val="00964834"/>
    <w:rsid w:val="00964878"/>
    <w:rsid w:val="00964E1A"/>
    <w:rsid w:val="00965247"/>
    <w:rsid w:val="009652EE"/>
    <w:rsid w:val="009655CA"/>
    <w:rsid w:val="00967901"/>
    <w:rsid w:val="00967981"/>
    <w:rsid w:val="00967D18"/>
    <w:rsid w:val="00967FF7"/>
    <w:rsid w:val="0097022D"/>
    <w:rsid w:val="0097048F"/>
    <w:rsid w:val="0097051B"/>
    <w:rsid w:val="009706DD"/>
    <w:rsid w:val="00970CCC"/>
    <w:rsid w:val="009713F5"/>
    <w:rsid w:val="00971B64"/>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3CF"/>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B16"/>
    <w:rsid w:val="00991C0B"/>
    <w:rsid w:val="00991CA8"/>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2D89"/>
    <w:rsid w:val="009A32E9"/>
    <w:rsid w:val="009A3719"/>
    <w:rsid w:val="009A3A7E"/>
    <w:rsid w:val="009A4C2A"/>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14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041"/>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27"/>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440"/>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BF5"/>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566"/>
    <w:rsid w:val="00A13BAF"/>
    <w:rsid w:val="00A1425F"/>
    <w:rsid w:val="00A14526"/>
    <w:rsid w:val="00A14B81"/>
    <w:rsid w:val="00A15053"/>
    <w:rsid w:val="00A153FE"/>
    <w:rsid w:val="00A154B0"/>
    <w:rsid w:val="00A1597B"/>
    <w:rsid w:val="00A15B39"/>
    <w:rsid w:val="00A15D76"/>
    <w:rsid w:val="00A166F5"/>
    <w:rsid w:val="00A1678D"/>
    <w:rsid w:val="00A17054"/>
    <w:rsid w:val="00A1763C"/>
    <w:rsid w:val="00A208E7"/>
    <w:rsid w:val="00A20C87"/>
    <w:rsid w:val="00A20D63"/>
    <w:rsid w:val="00A21E13"/>
    <w:rsid w:val="00A21ECC"/>
    <w:rsid w:val="00A2229B"/>
    <w:rsid w:val="00A222EA"/>
    <w:rsid w:val="00A223AE"/>
    <w:rsid w:val="00A22907"/>
    <w:rsid w:val="00A23085"/>
    <w:rsid w:val="00A23D19"/>
    <w:rsid w:val="00A24BD4"/>
    <w:rsid w:val="00A24F17"/>
    <w:rsid w:val="00A25EF7"/>
    <w:rsid w:val="00A26279"/>
    <w:rsid w:val="00A26738"/>
    <w:rsid w:val="00A26962"/>
    <w:rsid w:val="00A26A40"/>
    <w:rsid w:val="00A26CCE"/>
    <w:rsid w:val="00A27205"/>
    <w:rsid w:val="00A27331"/>
    <w:rsid w:val="00A27B6D"/>
    <w:rsid w:val="00A27C2E"/>
    <w:rsid w:val="00A30DEF"/>
    <w:rsid w:val="00A3161B"/>
    <w:rsid w:val="00A3213E"/>
    <w:rsid w:val="00A324A1"/>
    <w:rsid w:val="00A329E9"/>
    <w:rsid w:val="00A32D42"/>
    <w:rsid w:val="00A32DD9"/>
    <w:rsid w:val="00A33857"/>
    <w:rsid w:val="00A339EF"/>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AF3"/>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26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6F19"/>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3"/>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E7AB1"/>
    <w:rsid w:val="00AF04D0"/>
    <w:rsid w:val="00AF1315"/>
    <w:rsid w:val="00AF1674"/>
    <w:rsid w:val="00AF1C4C"/>
    <w:rsid w:val="00AF1C82"/>
    <w:rsid w:val="00AF1ECD"/>
    <w:rsid w:val="00AF220B"/>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34B"/>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1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2C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B02"/>
    <w:rsid w:val="00B76449"/>
    <w:rsid w:val="00B76FEB"/>
    <w:rsid w:val="00B77A49"/>
    <w:rsid w:val="00B77C2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470"/>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137"/>
    <w:rsid w:val="00BB622A"/>
    <w:rsid w:val="00BB670B"/>
    <w:rsid w:val="00BB6A7E"/>
    <w:rsid w:val="00BB712F"/>
    <w:rsid w:val="00BC0612"/>
    <w:rsid w:val="00BC074C"/>
    <w:rsid w:val="00BC0B56"/>
    <w:rsid w:val="00BC0D32"/>
    <w:rsid w:val="00BC19C7"/>
    <w:rsid w:val="00BC1CD3"/>
    <w:rsid w:val="00BC234F"/>
    <w:rsid w:val="00BC24A5"/>
    <w:rsid w:val="00BC38ED"/>
    <w:rsid w:val="00BC39D1"/>
    <w:rsid w:val="00BC420E"/>
    <w:rsid w:val="00BC4296"/>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BF78BD"/>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D7E"/>
    <w:rsid w:val="00C14F91"/>
    <w:rsid w:val="00C150C3"/>
    <w:rsid w:val="00C152E4"/>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220E"/>
    <w:rsid w:val="00C33D5F"/>
    <w:rsid w:val="00C33EE0"/>
    <w:rsid w:val="00C340C9"/>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36A4"/>
    <w:rsid w:val="00C438F4"/>
    <w:rsid w:val="00C43A49"/>
    <w:rsid w:val="00C43E84"/>
    <w:rsid w:val="00C448D8"/>
    <w:rsid w:val="00C44B8F"/>
    <w:rsid w:val="00C45113"/>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5767"/>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2E"/>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D7E"/>
    <w:rsid w:val="00C80F13"/>
    <w:rsid w:val="00C81EB2"/>
    <w:rsid w:val="00C82C0E"/>
    <w:rsid w:val="00C82DC7"/>
    <w:rsid w:val="00C84116"/>
    <w:rsid w:val="00C84141"/>
    <w:rsid w:val="00C8440D"/>
    <w:rsid w:val="00C848AD"/>
    <w:rsid w:val="00C84A84"/>
    <w:rsid w:val="00C84EC9"/>
    <w:rsid w:val="00C84F90"/>
    <w:rsid w:val="00C85084"/>
    <w:rsid w:val="00C8612E"/>
    <w:rsid w:val="00C863CA"/>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0EA"/>
    <w:rsid w:val="00CA7335"/>
    <w:rsid w:val="00CA7D9E"/>
    <w:rsid w:val="00CB07FB"/>
    <w:rsid w:val="00CB15A9"/>
    <w:rsid w:val="00CB1D57"/>
    <w:rsid w:val="00CB2585"/>
    <w:rsid w:val="00CB2A12"/>
    <w:rsid w:val="00CB303B"/>
    <w:rsid w:val="00CB3C55"/>
    <w:rsid w:val="00CB3D79"/>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776"/>
    <w:rsid w:val="00CD183E"/>
    <w:rsid w:val="00CD29F4"/>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8D"/>
    <w:rsid w:val="00CE15A0"/>
    <w:rsid w:val="00CE1A88"/>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5E"/>
    <w:rsid w:val="00CE629E"/>
    <w:rsid w:val="00CE696F"/>
    <w:rsid w:val="00CE6A43"/>
    <w:rsid w:val="00CE6D4A"/>
    <w:rsid w:val="00CE7244"/>
    <w:rsid w:val="00CE72E4"/>
    <w:rsid w:val="00CE75DA"/>
    <w:rsid w:val="00CE78B0"/>
    <w:rsid w:val="00CE7A9C"/>
    <w:rsid w:val="00CF04D6"/>
    <w:rsid w:val="00CF058C"/>
    <w:rsid w:val="00CF0BE4"/>
    <w:rsid w:val="00CF0C1C"/>
    <w:rsid w:val="00CF0F7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07"/>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1D47"/>
    <w:rsid w:val="00D138DF"/>
    <w:rsid w:val="00D1402A"/>
    <w:rsid w:val="00D14211"/>
    <w:rsid w:val="00D1438C"/>
    <w:rsid w:val="00D14996"/>
    <w:rsid w:val="00D14B95"/>
    <w:rsid w:val="00D14FF3"/>
    <w:rsid w:val="00D150A4"/>
    <w:rsid w:val="00D15A41"/>
    <w:rsid w:val="00D15FC0"/>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46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1FBC"/>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28"/>
    <w:rsid w:val="00D82BF4"/>
    <w:rsid w:val="00D83161"/>
    <w:rsid w:val="00D835C3"/>
    <w:rsid w:val="00D835D9"/>
    <w:rsid w:val="00D83B7D"/>
    <w:rsid w:val="00D84BD2"/>
    <w:rsid w:val="00D8556B"/>
    <w:rsid w:val="00D85ABD"/>
    <w:rsid w:val="00D85CE3"/>
    <w:rsid w:val="00D8670D"/>
    <w:rsid w:val="00D8748D"/>
    <w:rsid w:val="00D879C5"/>
    <w:rsid w:val="00D87AFC"/>
    <w:rsid w:val="00D87C09"/>
    <w:rsid w:val="00D87D81"/>
    <w:rsid w:val="00D9002A"/>
    <w:rsid w:val="00D91DE5"/>
    <w:rsid w:val="00D91FC8"/>
    <w:rsid w:val="00D9273E"/>
    <w:rsid w:val="00D927EB"/>
    <w:rsid w:val="00D935DE"/>
    <w:rsid w:val="00D93D21"/>
    <w:rsid w:val="00D942E4"/>
    <w:rsid w:val="00D944DA"/>
    <w:rsid w:val="00D95088"/>
    <w:rsid w:val="00D950FD"/>
    <w:rsid w:val="00D959E6"/>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72B"/>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5F"/>
    <w:rsid w:val="00E04DFF"/>
    <w:rsid w:val="00E052C3"/>
    <w:rsid w:val="00E053DD"/>
    <w:rsid w:val="00E05875"/>
    <w:rsid w:val="00E05C72"/>
    <w:rsid w:val="00E070D4"/>
    <w:rsid w:val="00E0754F"/>
    <w:rsid w:val="00E07907"/>
    <w:rsid w:val="00E07986"/>
    <w:rsid w:val="00E07EC7"/>
    <w:rsid w:val="00E103F0"/>
    <w:rsid w:val="00E10C0B"/>
    <w:rsid w:val="00E10D47"/>
    <w:rsid w:val="00E11324"/>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370"/>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9D9"/>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3D7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0A4"/>
    <w:rsid w:val="00E66DBA"/>
    <w:rsid w:val="00E67D5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36E"/>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051"/>
    <w:rsid w:val="00EA07CA"/>
    <w:rsid w:val="00EA0C79"/>
    <w:rsid w:val="00EA0C89"/>
    <w:rsid w:val="00EA1040"/>
    <w:rsid w:val="00EA1B37"/>
    <w:rsid w:val="00EA1EDC"/>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48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64E"/>
    <w:rsid w:val="00EF1759"/>
    <w:rsid w:val="00EF1BE4"/>
    <w:rsid w:val="00EF1C89"/>
    <w:rsid w:val="00EF2596"/>
    <w:rsid w:val="00EF29B6"/>
    <w:rsid w:val="00EF346A"/>
    <w:rsid w:val="00EF347B"/>
    <w:rsid w:val="00EF39FE"/>
    <w:rsid w:val="00EF3B89"/>
    <w:rsid w:val="00EF4280"/>
    <w:rsid w:val="00EF4423"/>
    <w:rsid w:val="00EF47B2"/>
    <w:rsid w:val="00EF4C9B"/>
    <w:rsid w:val="00EF5C7E"/>
    <w:rsid w:val="00EF73DC"/>
    <w:rsid w:val="00F005C9"/>
    <w:rsid w:val="00F013E6"/>
    <w:rsid w:val="00F01531"/>
    <w:rsid w:val="00F01BA4"/>
    <w:rsid w:val="00F01C02"/>
    <w:rsid w:val="00F01EEE"/>
    <w:rsid w:val="00F020C7"/>
    <w:rsid w:val="00F021E6"/>
    <w:rsid w:val="00F02FD4"/>
    <w:rsid w:val="00F038F0"/>
    <w:rsid w:val="00F042AF"/>
    <w:rsid w:val="00F04B92"/>
    <w:rsid w:val="00F05270"/>
    <w:rsid w:val="00F0531D"/>
    <w:rsid w:val="00F053D8"/>
    <w:rsid w:val="00F058E0"/>
    <w:rsid w:val="00F05972"/>
    <w:rsid w:val="00F06569"/>
    <w:rsid w:val="00F066BF"/>
    <w:rsid w:val="00F07531"/>
    <w:rsid w:val="00F07912"/>
    <w:rsid w:val="00F07C01"/>
    <w:rsid w:val="00F1030C"/>
    <w:rsid w:val="00F104D0"/>
    <w:rsid w:val="00F1057B"/>
    <w:rsid w:val="00F105C1"/>
    <w:rsid w:val="00F10D04"/>
    <w:rsid w:val="00F115A0"/>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65A"/>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8A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AFB"/>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3FB1"/>
    <w:rsid w:val="00F8432C"/>
    <w:rsid w:val="00F84C9B"/>
    <w:rsid w:val="00F85EE0"/>
    <w:rsid w:val="00F864E9"/>
    <w:rsid w:val="00F87A5F"/>
    <w:rsid w:val="00F90718"/>
    <w:rsid w:val="00F907D2"/>
    <w:rsid w:val="00F9092D"/>
    <w:rsid w:val="00F90D61"/>
    <w:rsid w:val="00F914F0"/>
    <w:rsid w:val="00F92197"/>
    <w:rsid w:val="00F92A4C"/>
    <w:rsid w:val="00F92CB3"/>
    <w:rsid w:val="00F92EF1"/>
    <w:rsid w:val="00F937E2"/>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13"/>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0C7"/>
    <w:rsid w:val="00FC15C7"/>
    <w:rsid w:val="00FC1B0B"/>
    <w:rsid w:val="00FC1D6A"/>
    <w:rsid w:val="00FC224B"/>
    <w:rsid w:val="00FC23FC"/>
    <w:rsid w:val="00FC273B"/>
    <w:rsid w:val="00FC27B6"/>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5BB"/>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99B"/>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91F"/>
    <w:rsid w:val="00FF5CD8"/>
    <w:rsid w:val="00FF5CDA"/>
    <w:rsid w:val="00FF5DDE"/>
    <w:rsid w:val="00FF621D"/>
    <w:rsid w:val="00FF6705"/>
    <w:rsid w:val="00FF6F07"/>
    <w:rsid w:val="00FF6F9C"/>
    <w:rsid w:val="00FF74C0"/>
    <w:rsid w:val="00FF785C"/>
    <w:rsid w:val="00FF7973"/>
    <w:rsid w:val="00FF7D81"/>
    <w:rsid w:val="00FF7D91"/>
    <w:rsid w:val="02A4735E"/>
    <w:rsid w:val="096469A0"/>
    <w:rsid w:val="09BC511C"/>
    <w:rsid w:val="0CF42026"/>
    <w:rsid w:val="0D460C6B"/>
    <w:rsid w:val="0DC24706"/>
    <w:rsid w:val="12DE28ED"/>
    <w:rsid w:val="13C337B6"/>
    <w:rsid w:val="14761E85"/>
    <w:rsid w:val="15853D06"/>
    <w:rsid w:val="15BC0959"/>
    <w:rsid w:val="163C286C"/>
    <w:rsid w:val="172D5256"/>
    <w:rsid w:val="17636559"/>
    <w:rsid w:val="1A3E0D67"/>
    <w:rsid w:val="1A4C2F31"/>
    <w:rsid w:val="1B8532CB"/>
    <w:rsid w:val="212E799A"/>
    <w:rsid w:val="255911D5"/>
    <w:rsid w:val="269419E1"/>
    <w:rsid w:val="27825488"/>
    <w:rsid w:val="2F9C12B9"/>
    <w:rsid w:val="333D1021"/>
    <w:rsid w:val="37182A56"/>
    <w:rsid w:val="376B3E71"/>
    <w:rsid w:val="3AE247B3"/>
    <w:rsid w:val="3DA15FE8"/>
    <w:rsid w:val="4280631F"/>
    <w:rsid w:val="48972CE1"/>
    <w:rsid w:val="48ED265B"/>
    <w:rsid w:val="4AC11FBB"/>
    <w:rsid w:val="4BE62CCB"/>
    <w:rsid w:val="4EF46023"/>
    <w:rsid w:val="4F546C40"/>
    <w:rsid w:val="52500506"/>
    <w:rsid w:val="560143A9"/>
    <w:rsid w:val="560E24E9"/>
    <w:rsid w:val="56671734"/>
    <w:rsid w:val="5B174C5D"/>
    <w:rsid w:val="5B79631C"/>
    <w:rsid w:val="5BD02D1C"/>
    <w:rsid w:val="5F2F37F8"/>
    <w:rsid w:val="5F9869FD"/>
    <w:rsid w:val="63F65AA3"/>
    <w:rsid w:val="66D37A4E"/>
    <w:rsid w:val="67185448"/>
    <w:rsid w:val="67CA7248"/>
    <w:rsid w:val="68C06926"/>
    <w:rsid w:val="6ADA1BF9"/>
    <w:rsid w:val="6B206672"/>
    <w:rsid w:val="6D650141"/>
    <w:rsid w:val="6E4E2AD1"/>
    <w:rsid w:val="6EF15A5E"/>
    <w:rsid w:val="74214194"/>
    <w:rsid w:val="755A7479"/>
    <w:rsid w:val="78E72C48"/>
    <w:rsid w:val="790315F6"/>
    <w:rsid w:val="79625E31"/>
    <w:rsid w:val="7D2F7BB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Yu Mincho Light"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Yu Mincho Light" w:cs="Times New Roman"/>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5"/>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6"/>
    <w:qFormat/>
    <w:uiPriority w:val="0"/>
    <w:pPr>
      <w:tabs>
        <w:tab w:val="left" w:pos="720"/>
        <w:tab w:val="clear" w:pos="576"/>
      </w:tabs>
      <w:spacing w:before="120"/>
      <w:ind w:left="720" w:hanging="720"/>
      <w:outlineLvl w:val="2"/>
    </w:pPr>
    <w:rPr>
      <w:sz w:val="28"/>
    </w:rPr>
  </w:style>
  <w:style w:type="paragraph" w:styleId="5">
    <w:name w:val="heading 4"/>
    <w:basedOn w:val="4"/>
    <w:next w:val="1"/>
    <w:link w:val="37"/>
    <w:qFormat/>
    <w:uiPriority w:val="0"/>
    <w:pPr>
      <w:tabs>
        <w:tab w:val="left" w:pos="864"/>
        <w:tab w:val="clear" w:pos="720"/>
      </w:tabs>
      <w:ind w:left="864" w:hanging="864"/>
      <w:outlineLvl w:val="3"/>
    </w:pPr>
    <w:rPr>
      <w:sz w:val="20"/>
    </w:rPr>
  </w:style>
  <w:style w:type="paragraph" w:styleId="6">
    <w:name w:val="heading 5"/>
    <w:basedOn w:val="5"/>
    <w:next w:val="1"/>
    <w:link w:val="38"/>
    <w:qFormat/>
    <w:uiPriority w:val="0"/>
    <w:pPr>
      <w:tabs>
        <w:tab w:val="left" w:pos="1152"/>
        <w:tab w:val="clear" w:pos="864"/>
      </w:tabs>
      <w:ind w:left="1152" w:hanging="1152"/>
      <w:outlineLvl w:val="4"/>
    </w:pPr>
    <w:rPr>
      <w:sz w:val="22"/>
    </w:rPr>
  </w:style>
  <w:style w:type="paragraph" w:styleId="7">
    <w:name w:val="heading 7"/>
    <w:basedOn w:val="1"/>
    <w:next w:val="1"/>
    <w:link w:val="39"/>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0"/>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1"/>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4"/>
    <w:qFormat/>
    <w:uiPriority w:val="0"/>
    <w:pPr>
      <w:keepNext/>
      <w:spacing w:after="60"/>
    </w:pPr>
    <w:rPr>
      <w:rFonts w:ascii="Courier New" w:hAnsi="Courier New" w:eastAsia="Yu Mincho Light" w:cs="Times New Roman"/>
      <w:b/>
      <w:kern w:val="20"/>
      <w:sz w:val="16"/>
      <w:lang w:val="en-US" w:eastAsia="en-US" w:bidi="ar-SA"/>
    </w:rPr>
  </w:style>
  <w:style w:type="paragraph" w:styleId="11">
    <w:name w:val="Document Map"/>
    <w:basedOn w:val="1"/>
    <w:link w:val="26"/>
    <w:semiHidden/>
    <w:unhideWhenUsed/>
    <w:qFormat/>
    <w:uiPriority w:val="99"/>
    <w:rPr>
      <w:rFonts w:ascii="Cambria Math" w:hAnsi="Cambria Math" w:eastAsia="Cambria Math"/>
      <w:sz w:val="20"/>
      <w:szCs w:val="20"/>
    </w:rPr>
  </w:style>
  <w:style w:type="paragraph" w:styleId="12">
    <w:name w:val="annotation text"/>
    <w:basedOn w:val="1"/>
    <w:link w:val="47"/>
    <w:unhideWhenUsed/>
    <w:qFormat/>
    <w:uiPriority w:val="0"/>
  </w:style>
  <w:style w:type="paragraph" w:styleId="13">
    <w:name w:val="Balloon Text"/>
    <w:basedOn w:val="1"/>
    <w:link w:val="45"/>
    <w:semiHidden/>
    <w:unhideWhenUsed/>
    <w:qFormat/>
    <w:uiPriority w:val="99"/>
    <w:rPr>
      <w:rFonts w:ascii="Cambria Math" w:hAnsi="Cambria Math" w:eastAsia="Cambria Math"/>
      <w:sz w:val="18"/>
      <w:szCs w:val="18"/>
    </w:rPr>
  </w:style>
  <w:style w:type="paragraph" w:styleId="14">
    <w:name w:val="footer"/>
    <w:basedOn w:val="1"/>
    <w:link w:val="46"/>
    <w:unhideWhenUsed/>
    <w:qFormat/>
    <w:uiPriority w:val="99"/>
    <w:pPr>
      <w:tabs>
        <w:tab w:val="center" w:pos="4153"/>
        <w:tab w:val="right" w:pos="8306"/>
      </w:tabs>
      <w:snapToGrid w:val="0"/>
    </w:pPr>
    <w:rPr>
      <w:rFonts w:ascii="Cambria Math" w:hAnsi="Cambria Math"/>
      <w:sz w:val="18"/>
      <w:szCs w:val="18"/>
    </w:rPr>
  </w:style>
  <w:style w:type="paragraph" w:styleId="15">
    <w:name w:val="header"/>
    <w:basedOn w:val="1"/>
    <w:link w:val="24"/>
    <w:qFormat/>
    <w:uiPriority w:val="99"/>
    <w:pPr>
      <w:tabs>
        <w:tab w:val="center" w:pos="4153"/>
        <w:tab w:val="right" w:pos="8306"/>
      </w:tabs>
    </w:pPr>
    <w:rPr>
      <w:rFonts w:eastAsia="Courier New"/>
      <w:sz w:val="20"/>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8">
    <w:name w:val="annotation subject"/>
    <w:basedOn w:val="12"/>
    <w:next w:val="12"/>
    <w:link w:val="48"/>
    <w:semiHidden/>
    <w:unhideWhenUsed/>
    <w:qFormat/>
    <w:uiPriority w:val="99"/>
    <w:rPr>
      <w:rFonts w:ascii="Cambria Math" w:hAnsi="Cambria Math"/>
      <w:b/>
      <w:bCs/>
      <w:sz w:val="20"/>
      <w:szCs w:val="20"/>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semiHidden/>
    <w:unhideWhenUsed/>
    <w:qFormat/>
    <w:uiPriority w:val="99"/>
    <w:rPr>
      <w:sz w:val="21"/>
      <w:szCs w:val="21"/>
    </w:rPr>
  </w:style>
  <w:style w:type="character" w:customStyle="1" w:styleId="24">
    <w:name w:val="页眉 字符"/>
    <w:link w:val="15"/>
    <w:qFormat/>
    <w:uiPriority w:val="99"/>
    <w:rPr>
      <w:rFonts w:ascii="Times New Roman" w:hAnsi="Times New Roman" w:eastAsia="Courier New" w:cs="Times New Roman"/>
      <w:kern w:val="0"/>
      <w:sz w:val="20"/>
      <w:szCs w:val="20"/>
      <w:lang w:eastAsia="en-US"/>
    </w:rPr>
  </w:style>
  <w:style w:type="character" w:customStyle="1" w:styleId="25">
    <w:name w:val="标题 1 字符"/>
    <w:link w:val="2"/>
    <w:qFormat/>
    <w:uiPriority w:val="0"/>
    <w:rPr>
      <w:rFonts w:ascii="Arial" w:hAnsi="Arial"/>
      <w:b/>
      <w:bCs/>
      <w:kern w:val="44"/>
      <w:sz w:val="44"/>
      <w:szCs w:val="44"/>
    </w:rPr>
  </w:style>
  <w:style w:type="character" w:customStyle="1" w:styleId="26">
    <w:name w:val="文档结构图 字符"/>
    <w:link w:val="11"/>
    <w:semiHidden/>
    <w:qFormat/>
    <w:uiPriority w:val="99"/>
    <w:rPr>
      <w:rFonts w:ascii="Cambria Math" w:eastAsia="Cambria Math"/>
    </w:rPr>
  </w:style>
  <w:style w:type="paragraph" w:customStyle="1" w:styleId="27">
    <w:name w:val="TAC"/>
    <w:basedOn w:val="1"/>
    <w:link w:val="28"/>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8">
    <w:name w:val="TAC Char"/>
    <w:link w:val="27"/>
    <w:qFormat/>
    <w:uiPriority w:val="0"/>
    <w:rPr>
      <w:rFonts w:ascii="Courier New" w:hAnsi="Courier New" w:eastAsia="Yu Mincho Light" w:cs="Times New Roman"/>
      <w:kern w:val="0"/>
      <w:sz w:val="18"/>
      <w:szCs w:val="18"/>
      <w:lang w:val="en-GB"/>
    </w:rPr>
  </w:style>
  <w:style w:type="paragraph" w:customStyle="1" w:styleId="29">
    <w:name w:val="TH"/>
    <w:basedOn w:val="1"/>
    <w:link w:val="30"/>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0">
    <w:name w:val="TH Char"/>
    <w:link w:val="29"/>
    <w:qFormat/>
    <w:uiPriority w:val="0"/>
    <w:rPr>
      <w:rFonts w:ascii="Courier New" w:hAnsi="Courier New" w:eastAsia="Yu Mincho Light" w:cs="Times New Roman"/>
      <w:b/>
      <w:bCs/>
      <w:kern w:val="0"/>
      <w:sz w:val="20"/>
      <w:szCs w:val="20"/>
      <w:lang w:val="en-GB"/>
    </w:rPr>
  </w:style>
  <w:style w:type="paragraph" w:customStyle="1" w:styleId="31">
    <w:name w:val="TAH"/>
    <w:basedOn w:val="27"/>
    <w:link w:val="32"/>
    <w:qFormat/>
    <w:uiPriority w:val="0"/>
    <w:rPr>
      <w:b/>
      <w:bCs/>
    </w:rPr>
  </w:style>
  <w:style w:type="character" w:customStyle="1" w:styleId="32">
    <w:name w:val="TAH Car"/>
    <w:link w:val="31"/>
    <w:qFormat/>
    <w:uiPriority w:val="0"/>
    <w:rPr>
      <w:rFonts w:ascii="Courier New" w:hAnsi="Courier New" w:eastAsia="Yu Mincho Light" w:cs="Times New Roman"/>
      <w:b/>
      <w:bCs/>
      <w:kern w:val="0"/>
      <w:sz w:val="18"/>
      <w:szCs w:val="18"/>
      <w:lang w:val="en-GB"/>
    </w:rPr>
  </w:style>
  <w:style w:type="paragraph" w:customStyle="1" w:styleId="33">
    <w:name w:val="TAN"/>
    <w:basedOn w:val="1"/>
    <w:link w:val="34"/>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4">
    <w:name w:val="TAN Char"/>
    <w:link w:val="33"/>
    <w:qFormat/>
    <w:uiPriority w:val="0"/>
    <w:rPr>
      <w:rFonts w:ascii="Courier New" w:hAnsi="Courier New" w:eastAsia="Yu Mincho Light" w:cs="Times New Roman"/>
      <w:kern w:val="0"/>
      <w:sz w:val="18"/>
      <w:szCs w:val="18"/>
      <w:lang w:val="en-GB"/>
    </w:rPr>
  </w:style>
  <w:style w:type="character" w:customStyle="1" w:styleId="35">
    <w:name w:val="标题 2 字符"/>
    <w:link w:val="3"/>
    <w:qFormat/>
    <w:uiPriority w:val="0"/>
    <w:rPr>
      <w:rFonts w:ascii="Courier New" w:hAnsi="Courier New" w:eastAsia="Courier New" w:cs="Times New Roman"/>
      <w:kern w:val="0"/>
      <w:sz w:val="32"/>
      <w:szCs w:val="20"/>
      <w:lang w:val="en-GB" w:eastAsia="en-US"/>
    </w:rPr>
  </w:style>
  <w:style w:type="character" w:customStyle="1" w:styleId="36">
    <w:name w:val="标题 3 字符"/>
    <w:link w:val="4"/>
    <w:qFormat/>
    <w:uiPriority w:val="0"/>
    <w:rPr>
      <w:rFonts w:ascii="Courier New" w:hAnsi="Courier New" w:eastAsia="Courier New" w:cs="Times New Roman"/>
      <w:kern w:val="0"/>
      <w:sz w:val="28"/>
      <w:szCs w:val="20"/>
      <w:lang w:val="en-GB" w:eastAsia="en-US"/>
    </w:rPr>
  </w:style>
  <w:style w:type="character" w:customStyle="1" w:styleId="37">
    <w:name w:val="标题 4 字符"/>
    <w:link w:val="5"/>
    <w:qFormat/>
    <w:uiPriority w:val="0"/>
    <w:rPr>
      <w:rFonts w:ascii="Courier New" w:hAnsi="Courier New" w:eastAsia="Courier New" w:cs="Times New Roman"/>
      <w:kern w:val="0"/>
      <w:szCs w:val="20"/>
      <w:lang w:val="en-GB" w:eastAsia="en-US"/>
    </w:rPr>
  </w:style>
  <w:style w:type="character" w:customStyle="1" w:styleId="38">
    <w:name w:val="标题 5 字符"/>
    <w:link w:val="6"/>
    <w:qFormat/>
    <w:uiPriority w:val="0"/>
    <w:rPr>
      <w:rFonts w:ascii="Courier New" w:hAnsi="Courier New" w:eastAsia="Courier New" w:cs="Times New Roman"/>
      <w:kern w:val="0"/>
      <w:sz w:val="22"/>
      <w:szCs w:val="20"/>
      <w:lang w:val="en-GB" w:eastAsia="en-US"/>
    </w:rPr>
  </w:style>
  <w:style w:type="character" w:customStyle="1" w:styleId="39">
    <w:name w:val="标题 7 字符"/>
    <w:link w:val="7"/>
    <w:qFormat/>
    <w:uiPriority w:val="0"/>
    <w:rPr>
      <w:rFonts w:ascii="Courier New" w:hAnsi="Courier New" w:eastAsia="Courier New" w:cs="Times New Roman"/>
      <w:kern w:val="0"/>
      <w:sz w:val="20"/>
      <w:szCs w:val="20"/>
      <w:lang w:val="en-GB" w:eastAsia="en-US"/>
    </w:rPr>
  </w:style>
  <w:style w:type="character" w:customStyle="1" w:styleId="40">
    <w:name w:val="标题 8 字符"/>
    <w:link w:val="8"/>
    <w:qFormat/>
    <w:uiPriority w:val="0"/>
    <w:rPr>
      <w:rFonts w:ascii="Courier New" w:hAnsi="Courier New" w:eastAsia="Courier New" w:cs="Times New Roman"/>
      <w:kern w:val="0"/>
      <w:sz w:val="36"/>
      <w:szCs w:val="20"/>
      <w:lang w:val="en-GB" w:eastAsia="en-US"/>
    </w:rPr>
  </w:style>
  <w:style w:type="character" w:customStyle="1" w:styleId="41">
    <w:name w:val="标题 9 字符"/>
    <w:link w:val="9"/>
    <w:qFormat/>
    <w:uiPriority w:val="0"/>
    <w:rPr>
      <w:rFonts w:ascii="Courier New" w:hAnsi="Courier New" w:eastAsia="Courier New" w:cs="Times New Roman"/>
      <w:kern w:val="0"/>
      <w:sz w:val="36"/>
      <w:szCs w:val="20"/>
      <w:lang w:val="en-GB" w:eastAsia="en-US"/>
    </w:rPr>
  </w:style>
  <w:style w:type="paragraph" w:customStyle="1" w:styleId="42">
    <w:name w:val="彩色列表 - 强调文字颜色 11"/>
    <w:basedOn w:val="1"/>
    <w:qFormat/>
    <w:uiPriority w:val="34"/>
    <w:pPr>
      <w:ind w:firstLine="420" w:firstLineChars="200"/>
    </w:pPr>
    <w:rPr>
      <w:rFonts w:ascii="Yu Mincho Light" w:hAnsi="Yu Mincho Light"/>
      <w:sz w:val="20"/>
      <w:szCs w:val="20"/>
    </w:rPr>
  </w:style>
  <w:style w:type="paragraph" w:customStyle="1" w:styleId="43">
    <w:name w:val="Table Text"/>
    <w:qFormat/>
    <w:uiPriority w:val="0"/>
    <w:pPr>
      <w:snapToGrid w:val="0"/>
      <w:spacing w:before="80" w:after="80"/>
    </w:pPr>
    <w:rPr>
      <w:rFonts w:ascii="Courier New" w:hAnsi="Courier New" w:eastAsia="Yu Mincho Light" w:cs="Times New Roman"/>
      <w:sz w:val="18"/>
      <w:lang w:val="en-US" w:eastAsia="zh-CN" w:bidi="ar-SA"/>
    </w:rPr>
  </w:style>
  <w:style w:type="character" w:customStyle="1" w:styleId="44">
    <w:name w:val="题注 字符"/>
    <w:link w:val="10"/>
    <w:qFormat/>
    <w:uiPriority w:val="0"/>
    <w:rPr>
      <w:rFonts w:ascii="Courier New" w:hAnsi="Courier New"/>
      <w:b/>
      <w:kern w:val="20"/>
      <w:sz w:val="16"/>
      <w:lang w:eastAsia="en-US" w:bidi="ar-SA"/>
    </w:rPr>
  </w:style>
  <w:style w:type="character" w:customStyle="1" w:styleId="45">
    <w:name w:val="批注框文本 字符"/>
    <w:link w:val="13"/>
    <w:semiHidden/>
    <w:qFormat/>
    <w:uiPriority w:val="99"/>
    <w:rPr>
      <w:rFonts w:ascii="Cambria Math" w:eastAsia="Cambria Math"/>
      <w:sz w:val="18"/>
      <w:szCs w:val="18"/>
    </w:rPr>
  </w:style>
  <w:style w:type="character" w:customStyle="1" w:styleId="46">
    <w:name w:val="页脚 字符"/>
    <w:link w:val="14"/>
    <w:qFormat/>
    <w:uiPriority w:val="99"/>
    <w:rPr>
      <w:sz w:val="18"/>
      <w:szCs w:val="18"/>
    </w:rPr>
  </w:style>
  <w:style w:type="character" w:customStyle="1" w:styleId="47">
    <w:name w:val="批注文字 字符"/>
    <w:basedOn w:val="21"/>
    <w:link w:val="12"/>
    <w:qFormat/>
    <w:uiPriority w:val="0"/>
  </w:style>
  <w:style w:type="character" w:customStyle="1" w:styleId="48">
    <w:name w:val="批注主题 字符"/>
    <w:link w:val="18"/>
    <w:semiHidden/>
    <w:qFormat/>
    <w:uiPriority w:val="99"/>
    <w:rPr>
      <w:b/>
      <w:bCs/>
    </w:rPr>
  </w:style>
  <w:style w:type="paragraph" w:customStyle="1" w:styleId="49">
    <w:name w:val="B1"/>
    <w:basedOn w:val="16"/>
    <w:link w:val="50"/>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0">
    <w:name w:val="B1 Char1"/>
    <w:link w:val="49"/>
    <w:qFormat/>
    <w:uiPriority w:val="0"/>
    <w:rPr>
      <w:rFonts w:ascii="Times New Roman" w:hAnsi="Times New Roman" w:eastAsia="Times New Roman" w:cs="Times New Roman"/>
      <w:kern w:val="0"/>
      <w:sz w:val="20"/>
      <w:szCs w:val="20"/>
      <w:lang w:val="en-GB" w:eastAsia="en-US"/>
    </w:rPr>
  </w:style>
  <w:style w:type="character" w:customStyle="1" w:styleId="51">
    <w:name w:val="B1 Char"/>
    <w:qFormat/>
    <w:locked/>
    <w:uiPriority w:val="0"/>
    <w:rPr>
      <w:lang w:val="en-GB"/>
    </w:rPr>
  </w:style>
  <w:style w:type="paragraph" w:customStyle="1" w:styleId="52">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3">
    <w:name w:val="首标题"/>
    <w:qFormat/>
    <w:uiPriority w:val="0"/>
    <w:rPr>
      <w:rFonts w:ascii="Courier New" w:hAnsi="Courier New" w:eastAsia="Yu Mincho Light"/>
      <w:sz w:val="24"/>
      <w:lang w:val="en-US" w:eastAsia="zh-CN" w:bidi="ar-SA"/>
    </w:rPr>
  </w:style>
  <w:style w:type="paragraph" w:customStyle="1" w:styleId="54">
    <w:name w:val="插图题注"/>
    <w:basedOn w:val="1"/>
    <w:qFormat/>
    <w:uiPriority w:val="0"/>
    <w:pPr>
      <w:spacing w:after="180"/>
    </w:pPr>
    <w:rPr>
      <w:sz w:val="20"/>
      <w:szCs w:val="20"/>
      <w:lang w:val="en-GB" w:eastAsia="en-US"/>
    </w:rPr>
  </w:style>
  <w:style w:type="paragraph" w:customStyle="1" w:styleId="55">
    <w:name w:val="表格题注"/>
    <w:basedOn w:val="1"/>
    <w:qFormat/>
    <w:uiPriority w:val="0"/>
    <w:pPr>
      <w:spacing w:after="180"/>
    </w:pPr>
    <w:rPr>
      <w:sz w:val="20"/>
      <w:szCs w:val="20"/>
      <w:lang w:val="en-GB" w:eastAsia="en-US"/>
    </w:rPr>
  </w:style>
  <w:style w:type="paragraph" w:customStyle="1" w:styleId="56">
    <w:name w:val="TAL"/>
    <w:basedOn w:val="1"/>
    <w:link w:val="57"/>
    <w:qFormat/>
    <w:uiPriority w:val="0"/>
    <w:pPr>
      <w:keepNext/>
      <w:keepLines/>
    </w:pPr>
    <w:rPr>
      <w:rFonts w:ascii="Courier New" w:hAnsi="Courier New"/>
      <w:sz w:val="18"/>
      <w:szCs w:val="20"/>
      <w:lang w:val="en-GB" w:eastAsia="en-US"/>
    </w:rPr>
  </w:style>
  <w:style w:type="character" w:customStyle="1" w:styleId="57">
    <w:name w:val="TAL Car"/>
    <w:link w:val="56"/>
    <w:qFormat/>
    <w:uiPriority w:val="0"/>
    <w:rPr>
      <w:rFonts w:ascii="Courier New" w:hAnsi="Courier New"/>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Yu Mincho Light"/>
      <w:lang w:val="en-GB" w:eastAsia="ja-JP"/>
    </w:rPr>
  </w:style>
  <w:style w:type="character" w:customStyle="1" w:styleId="60">
    <w:name w:val="TAL Char"/>
    <w:qFormat/>
    <w:uiPriority w:val="0"/>
    <w:rPr>
      <w:rFonts w:ascii="Courier New" w:hAnsi="Courier New" w:eastAsia="Yu Mincho Light"/>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4">
    <w:name w:val="Doc-text2 Char"/>
    <w:link w:val="63"/>
    <w:qFormat/>
    <w:uiPriority w:val="0"/>
    <w:rPr>
      <w:rFonts w:ascii="Courier New" w:hAnsi="Courier New" w:eastAsia="Courier New"/>
      <w:szCs w:val="24"/>
      <w:lang w:eastAsia="en-GB"/>
    </w:rPr>
  </w:style>
  <w:style w:type="character" w:customStyle="1" w:styleId="65">
    <w:name w:val="Doc-title Char"/>
    <w:link w:val="62"/>
    <w:qFormat/>
    <w:uiPriority w:val="0"/>
    <w:rPr>
      <w:rFonts w:ascii="Courier New" w:hAnsi="Courier New" w:eastAsia="Courier New"/>
      <w:szCs w:val="24"/>
      <w:lang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8">
    <w:name w:val="H6 Char"/>
    <w:link w:val="67"/>
    <w:qFormat/>
    <w:uiPriority w:val="0"/>
    <w:rPr>
      <w:rFonts w:ascii="Courier New" w:hAnsi="Courier New" w:eastAsia="Yu Mincho Light"/>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rPr>
  </w:style>
  <w:style w:type="character" w:customStyle="1" w:styleId="71">
    <w:name w:val="页眉 Char"/>
    <w:qFormat/>
    <w:uiPriority w:val="0"/>
    <w:rPr>
      <w:rFonts w:ascii="Courier New" w:hAnsi="Courier New"/>
      <w:b/>
      <w:sz w:val="18"/>
      <w:lang w:eastAsia="en-US"/>
    </w:rPr>
  </w:style>
  <w:style w:type="paragraph" w:customStyle="1" w:styleId="72">
    <w:name w:val="CR Cover Page"/>
    <w:link w:val="73"/>
    <w:qFormat/>
    <w:uiPriority w:val="0"/>
    <w:pPr>
      <w:spacing w:after="120"/>
    </w:pPr>
    <w:rPr>
      <w:rFonts w:ascii="Arial" w:hAnsi="Arial" w:eastAsia="Courier New" w:cs="Cambria Math"/>
      <w:lang w:val="en-GB" w:eastAsia="en-US" w:bidi="ar-SA"/>
    </w:rPr>
  </w:style>
  <w:style w:type="character" w:customStyle="1" w:styleId="73">
    <w:name w:val="CR Cover Page Char"/>
    <w:link w:val="72"/>
    <w:qFormat/>
    <w:uiPriority w:val="0"/>
    <w:rPr>
      <w:rFonts w:ascii="Arial" w:hAnsi="Arial" w:eastAsia="Courier New" w:cs="Cambria Math"/>
      <w:lang w:val="en-GB" w:eastAsia="en-US" w:bidi="ar-SA"/>
    </w:rPr>
  </w:style>
  <w:style w:type="paragraph" w:styleId="74">
    <w:name w:val="List Paragraph"/>
    <w:basedOn w:val="1"/>
    <w:link w:val="75"/>
    <w:qFormat/>
    <w:uiPriority w:val="34"/>
    <w:pPr>
      <w:ind w:firstLine="420" w:firstLineChars="200"/>
    </w:pPr>
    <w:rPr>
      <w:rFonts w:eastAsia="Times New Roman" w:cs="宋体"/>
    </w:rPr>
  </w:style>
  <w:style w:type="character" w:customStyle="1" w:styleId="75">
    <w:name w:val="列表段落 字符"/>
    <w:link w:val="74"/>
    <w:qFormat/>
    <w:locked/>
    <w:uiPriority w:val="34"/>
    <w:rPr>
      <w:rFonts w:ascii="Times New Roman" w:hAnsi="Times New Roman" w:eastAsia="Times New Roman" w:cs="宋体"/>
      <w:sz w:val="24"/>
      <w:szCs w:val="24"/>
    </w:rPr>
  </w:style>
  <w:style w:type="paragraph" w:customStyle="1" w:styleId="76">
    <w:name w:val="Revision"/>
    <w:hidden/>
    <w:qFormat/>
    <w:uiPriority w:val="62"/>
    <w:rPr>
      <w:rFonts w:ascii="Times New Roman" w:hAnsi="Times New Roman" w:eastAsia="Yu Mincho Light" w:cs="Times New Roman"/>
      <w:sz w:val="24"/>
      <w:szCs w:val="24"/>
      <w:lang w:val="en-US" w:eastAsia="zh-CN" w:bidi="ar-SA"/>
    </w:rPr>
  </w:style>
  <w:style w:type="table" w:customStyle="1" w:styleId="77">
    <w:name w:val="网格型1"/>
    <w:basedOn w:val="19"/>
    <w:qFormat/>
    <w:uiPriority w:val="0"/>
    <w:pPr>
      <w:overflowPunct w:val="0"/>
      <w:autoSpaceDE w:val="0"/>
      <w:autoSpaceDN w:val="0"/>
      <w:adjustRightInd w:val="0"/>
      <w:spacing w:after="180" w:line="276" w:lineRule="auto"/>
      <w:textAlignment w:val="baseline"/>
    </w:pPr>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C7325-1688-4DFF-89AD-E5611C1B830F}">
  <ds:schemaRefs/>
</ds:datastoreItem>
</file>

<file path=docProps/app.xml><?xml version="1.0" encoding="utf-8"?>
<Properties xmlns="http://schemas.openxmlformats.org/officeDocument/2006/extended-properties" xmlns:vt="http://schemas.openxmlformats.org/officeDocument/2006/docPropsVTypes">
  <Template>Normal</Template>
  <Pages>10</Pages>
  <Words>2198</Words>
  <Characters>12534</Characters>
  <Lines>104</Lines>
  <Paragraphs>29</Paragraphs>
  <TotalTime>4</TotalTime>
  <ScaleCrop>false</ScaleCrop>
  <LinksUpToDate>false</LinksUpToDate>
  <CharactersWithSpaces>14703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CMCC-shiyuan-0228</cp:lastModifiedBy>
  <dcterms:modified xsi:type="dcterms:W3CDTF">2024-03-01T06:36:29Z</dcterms:modified>
  <cp:revision>178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C3279B7E580A4B39A1EF86D141DB5B88</vt:lpwstr>
  </property>
</Properties>
</file>